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20" w:rsidRPr="000E6292" w:rsidRDefault="004F5220" w:rsidP="004F52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E6292">
        <w:rPr>
          <w:rFonts w:ascii="Times New Roman" w:hAnsi="Times New Roman"/>
          <w:sz w:val="28"/>
          <w:szCs w:val="28"/>
          <w:lang w:val="uk-UA"/>
        </w:rPr>
        <w:t>Силабус</w:t>
      </w:r>
      <w:proofErr w:type="spellEnd"/>
      <w:r w:rsidRPr="000E62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6292">
        <w:rPr>
          <w:rFonts w:ascii="Times New Roman" w:hAnsi="Times New Roman"/>
          <w:i/>
          <w:iCs/>
          <w:sz w:val="28"/>
          <w:szCs w:val="28"/>
          <w:lang w:val="uk-UA"/>
        </w:rPr>
        <w:t>назва дисципліни</w:t>
      </w:r>
      <w:r w:rsidR="00AA628E" w:rsidRPr="000E6292">
        <w:rPr>
          <w:rFonts w:ascii="Times New Roman" w:hAnsi="Times New Roman"/>
          <w:i/>
          <w:iCs/>
          <w:sz w:val="28"/>
          <w:szCs w:val="28"/>
          <w:lang w:val="uk-UA"/>
        </w:rPr>
        <w:t xml:space="preserve"> «</w:t>
      </w:r>
      <w:r w:rsidR="00F3459A" w:rsidRPr="000E6292">
        <w:rPr>
          <w:rFonts w:ascii="Times New Roman" w:hAnsi="Times New Roman"/>
          <w:i/>
          <w:iCs/>
          <w:sz w:val="28"/>
          <w:szCs w:val="28"/>
          <w:lang w:val="uk-UA"/>
        </w:rPr>
        <w:t>Розпізнання та протидія гібридним загрозам на транспорті та в логістиці</w:t>
      </w:r>
      <w:r w:rsidR="00AA628E" w:rsidRPr="000E6292">
        <w:rPr>
          <w:rFonts w:ascii="Times New Roman" w:hAnsi="Times New Roman"/>
          <w:i/>
          <w:iCs/>
          <w:sz w:val="28"/>
          <w:szCs w:val="28"/>
          <w:lang w:val="uk-UA"/>
        </w:rPr>
        <w:t>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2669"/>
        <w:gridCol w:w="6520"/>
      </w:tblGrid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Назва поля</w:t>
            </w:r>
          </w:p>
        </w:tc>
        <w:tc>
          <w:tcPr>
            <w:tcW w:w="6520" w:type="dxa"/>
          </w:tcPr>
          <w:p w:rsidR="004F5220" w:rsidRPr="000E6292" w:rsidRDefault="004F5220" w:rsidP="00A62086">
            <w:pPr>
              <w:spacing w:after="0" w:line="240" w:lineRule="auto"/>
              <w:ind w:left="5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Контент, коментарі</w:t>
            </w:r>
          </w:p>
        </w:tc>
      </w:tr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520" w:type="dxa"/>
          </w:tcPr>
          <w:p w:rsidR="004F5220" w:rsidRPr="000E6292" w:rsidRDefault="004F5220" w:rsidP="00A62086">
            <w:pPr>
              <w:spacing w:after="0" w:line="240" w:lineRule="auto"/>
              <w:ind w:left="5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Другий (магістерський)</w:t>
            </w:r>
          </w:p>
        </w:tc>
      </w:tr>
      <w:tr w:rsidR="001246A4" w:rsidRPr="000E6292" w:rsidTr="00C41EAA">
        <w:tc>
          <w:tcPr>
            <w:tcW w:w="445" w:type="dxa"/>
          </w:tcPr>
          <w:p w:rsidR="008B63B6" w:rsidRPr="000E6292" w:rsidRDefault="008B63B6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8B63B6" w:rsidRPr="000E6292" w:rsidRDefault="008B63B6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6520" w:type="dxa"/>
          </w:tcPr>
          <w:p w:rsidR="008B63B6" w:rsidRPr="000E6292" w:rsidRDefault="008B63B6" w:rsidP="00D34145">
            <w:pPr>
              <w:spacing w:after="0" w:line="240" w:lineRule="auto"/>
              <w:ind w:left="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073 Менеджмент</w:t>
            </w:r>
          </w:p>
        </w:tc>
      </w:tr>
      <w:tr w:rsidR="001246A4" w:rsidRPr="000E6292" w:rsidTr="00C41EAA">
        <w:tc>
          <w:tcPr>
            <w:tcW w:w="445" w:type="dxa"/>
          </w:tcPr>
          <w:p w:rsidR="008B63B6" w:rsidRPr="000E6292" w:rsidRDefault="008B63B6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8B63B6" w:rsidRPr="000E6292" w:rsidRDefault="008B63B6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Тип і назва освітньої програми</w:t>
            </w:r>
          </w:p>
        </w:tc>
        <w:tc>
          <w:tcPr>
            <w:tcW w:w="6520" w:type="dxa"/>
          </w:tcPr>
          <w:p w:rsidR="008B63B6" w:rsidRPr="000E6292" w:rsidRDefault="008B63B6" w:rsidP="008B63B6">
            <w:pPr>
              <w:spacing w:after="0" w:line="240" w:lineRule="auto"/>
              <w:ind w:left="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Освітньо-професійна програма Менеджмент організацій і адміністрування </w:t>
            </w:r>
          </w:p>
        </w:tc>
      </w:tr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Статус дисципліни </w:t>
            </w:r>
          </w:p>
        </w:tc>
        <w:tc>
          <w:tcPr>
            <w:tcW w:w="6520" w:type="dxa"/>
          </w:tcPr>
          <w:p w:rsidR="004F5220" w:rsidRPr="000E6292" w:rsidRDefault="004F5220" w:rsidP="007B231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Основна </w:t>
            </w:r>
          </w:p>
        </w:tc>
      </w:tr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520" w:type="dxa"/>
          </w:tcPr>
          <w:p w:rsidR="004F5220" w:rsidRPr="000E6292" w:rsidRDefault="004F5220" w:rsidP="008B63B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Українська</w:t>
            </w:r>
          </w:p>
        </w:tc>
      </w:tr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Кількість ЄКТС кредитів</w:t>
            </w:r>
          </w:p>
        </w:tc>
        <w:tc>
          <w:tcPr>
            <w:tcW w:w="6520" w:type="dxa"/>
          </w:tcPr>
          <w:p w:rsidR="004F5220" w:rsidRPr="000E6292" w:rsidRDefault="00F3459A" w:rsidP="00A6208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</w:tr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Структура дисципліни (розподіл за видами та годинами навчання)</w:t>
            </w:r>
          </w:p>
        </w:tc>
        <w:tc>
          <w:tcPr>
            <w:tcW w:w="6520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Лекції – </w:t>
            </w:r>
            <w:r w:rsidR="00F3459A"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20</w:t>
            </w:r>
            <w:r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год.</w:t>
            </w:r>
          </w:p>
          <w:p w:rsidR="004F5220" w:rsidRPr="000E6292" w:rsidRDefault="00FD1161" w:rsidP="00A6208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Практичні</w:t>
            </w:r>
            <w:r w:rsidR="004F5220"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– </w:t>
            </w:r>
            <w:r w:rsidR="00F3459A"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</w:t>
            </w:r>
            <w:r w:rsidR="00E81AB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4</w:t>
            </w:r>
            <w:r w:rsidR="004F5220"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год.</w:t>
            </w:r>
          </w:p>
          <w:p w:rsidR="004F5220" w:rsidRPr="000E6292" w:rsidRDefault="004F5220" w:rsidP="00E81AB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Самостійна робота – </w:t>
            </w:r>
            <w:r w:rsidR="00E81AB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56</w:t>
            </w:r>
            <w:bookmarkStart w:id="0" w:name="_GoBack"/>
            <w:bookmarkEnd w:id="0"/>
            <w:r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год</w:t>
            </w:r>
          </w:p>
        </w:tc>
      </w:tr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Форма підсумкового контролю</w:t>
            </w:r>
          </w:p>
        </w:tc>
        <w:tc>
          <w:tcPr>
            <w:tcW w:w="6520" w:type="dxa"/>
          </w:tcPr>
          <w:p w:rsidR="004F5220" w:rsidRPr="000E6292" w:rsidRDefault="00544FF4" w:rsidP="004F52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Графік (терміни) вивчення дисципліни </w:t>
            </w:r>
          </w:p>
        </w:tc>
        <w:tc>
          <w:tcPr>
            <w:tcW w:w="6520" w:type="dxa"/>
          </w:tcPr>
          <w:p w:rsidR="004F5220" w:rsidRPr="000E6292" w:rsidRDefault="004F5220" w:rsidP="00F3459A">
            <w:pPr>
              <w:spacing w:after="0" w:line="240" w:lineRule="auto"/>
              <w:ind w:left="5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1 рік (1 курс), </w:t>
            </w:r>
            <w:r w:rsidR="00F3459A"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2</w:t>
            </w:r>
            <w:r w:rsidRPr="000E629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семестр</w:t>
            </w:r>
          </w:p>
        </w:tc>
      </w:tr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Цілі навчання за дисципліною</w:t>
            </w:r>
          </w:p>
        </w:tc>
        <w:tc>
          <w:tcPr>
            <w:tcW w:w="6520" w:type="dxa"/>
          </w:tcPr>
          <w:p w:rsidR="004F5220" w:rsidRPr="000E6292" w:rsidRDefault="00184DF5" w:rsidP="00184DF5">
            <w:pPr>
              <w:pStyle w:val="TableParagraph"/>
              <w:ind w:left="107" w:right="91"/>
              <w:jc w:val="both"/>
              <w:rPr>
                <w:i/>
                <w:iCs/>
                <w:sz w:val="24"/>
                <w:szCs w:val="24"/>
              </w:rPr>
            </w:pPr>
            <w:r w:rsidRPr="00184DF5">
              <w:rPr>
                <w:sz w:val="24"/>
                <w:szCs w:val="24"/>
              </w:rPr>
              <w:t xml:space="preserve">надати знання та навички, необхідні для </w:t>
            </w:r>
            <w:r w:rsidRPr="00184DF5">
              <w:rPr>
                <w:iCs/>
                <w:sz w:val="24"/>
                <w:szCs w:val="24"/>
              </w:rPr>
              <w:t>розпізнання та протиді</w:t>
            </w:r>
            <w:r>
              <w:rPr>
                <w:iCs/>
                <w:sz w:val="24"/>
                <w:szCs w:val="24"/>
              </w:rPr>
              <w:t>ї</w:t>
            </w:r>
            <w:r w:rsidRPr="00184DF5">
              <w:rPr>
                <w:iCs/>
                <w:sz w:val="24"/>
                <w:szCs w:val="24"/>
              </w:rPr>
              <w:t xml:space="preserve"> гібридним загрозам на транспорті та в логістиці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6520" w:type="dxa"/>
          </w:tcPr>
          <w:p w:rsidR="00BE19FF" w:rsidRPr="00BE19FF" w:rsidRDefault="00BE19FF" w:rsidP="00BE19FF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PMingLiU" w:hAnsi="Times New Roman"/>
                <w:spacing w:val="4"/>
                <w:sz w:val="24"/>
                <w:szCs w:val="24"/>
              </w:rPr>
            </w:pPr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РН1. Критично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осмислювати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,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вибирати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та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використовувати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необхідний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науковий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,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методичний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і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аналітичний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інструментарій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для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управління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в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непередбачуваних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умовах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;</w:t>
            </w:r>
          </w:p>
          <w:p w:rsidR="00BE19FF" w:rsidRPr="00BE19FF" w:rsidRDefault="00BE19FF" w:rsidP="00BE19FF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PMingLiU" w:hAnsi="Times New Roman"/>
                <w:spacing w:val="4"/>
                <w:sz w:val="24"/>
                <w:szCs w:val="24"/>
              </w:rPr>
            </w:pPr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РН 6.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Мати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навички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прийняття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,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обґрунтування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та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забезпечення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реалізації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управлінських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рішень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в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непередбачуваних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умовах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,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враховуючи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вимоги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чинного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законодавства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,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етичні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міркування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та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соціальну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відповідальність</w:t>
            </w:r>
            <w:proofErr w:type="spellEnd"/>
            <w:r w:rsidRPr="00BE19FF">
              <w:rPr>
                <w:rFonts w:ascii="Times New Roman" w:eastAsia="PMingLiU" w:hAnsi="Times New Roman"/>
                <w:spacing w:val="4"/>
                <w:sz w:val="24"/>
                <w:szCs w:val="24"/>
              </w:rPr>
              <w:t>;</w:t>
            </w:r>
          </w:p>
          <w:p w:rsidR="0020011D" w:rsidRPr="00FC1F43" w:rsidRDefault="0020011D" w:rsidP="0020011D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PMingLiU" w:hAnsi="Times New Roman"/>
                <w:color w:val="FF0000"/>
                <w:spacing w:val="4"/>
                <w:sz w:val="24"/>
                <w:szCs w:val="24"/>
              </w:rPr>
            </w:pPr>
            <w:r w:rsidRPr="00FC1F43">
              <w:rPr>
                <w:rFonts w:ascii="Times New Roman" w:eastAsia="PMingLiU" w:hAnsi="Times New Roman"/>
                <w:color w:val="FF0000"/>
                <w:spacing w:val="4"/>
                <w:sz w:val="24"/>
                <w:szCs w:val="24"/>
              </w:rPr>
              <w:t xml:space="preserve">РН 15.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Розуміти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комплексну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природу,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складність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логіку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і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закономірності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гібридних</w:t>
            </w:r>
            <w:proofErr w:type="spellEnd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C1F43">
              <w:rPr>
                <w:rFonts w:ascii="Times New Roman" w:hAnsi="Times New Roman"/>
                <w:color w:val="FF0000"/>
                <w:sz w:val="24"/>
                <w:szCs w:val="24"/>
              </w:rPr>
              <w:t>загроз</w:t>
            </w:r>
            <w:proofErr w:type="spellEnd"/>
            <w:r w:rsidRPr="00FC1F43">
              <w:rPr>
                <w:rFonts w:ascii="Times New Roman" w:eastAsia="PMingLiU" w:hAnsi="Times New Roman"/>
                <w:color w:val="FF0000"/>
                <w:spacing w:val="4"/>
                <w:sz w:val="24"/>
                <w:szCs w:val="24"/>
              </w:rPr>
              <w:t>;</w:t>
            </w:r>
          </w:p>
          <w:p w:rsidR="004F5220" w:rsidRPr="000E6292" w:rsidRDefault="0020011D" w:rsidP="0020011D">
            <w:pPr>
              <w:pStyle w:val="TableParagraph"/>
              <w:tabs>
                <w:tab w:val="left" w:pos="336"/>
              </w:tabs>
              <w:spacing w:before="2" w:line="237" w:lineRule="auto"/>
              <w:ind w:left="24" w:right="95"/>
              <w:jc w:val="both"/>
              <w:rPr>
                <w:rFonts w:ascii="Symbol" w:hAnsi="Symbol"/>
                <w:i/>
                <w:sz w:val="24"/>
              </w:rPr>
            </w:pPr>
            <w:r w:rsidRPr="00FC1F43">
              <w:rPr>
                <w:color w:val="FF0000"/>
                <w:sz w:val="24"/>
                <w:szCs w:val="24"/>
              </w:rPr>
              <w:t>РН 16.  Виявляти, ідентифікувати, класифікувати гібридні загрози та ефективно на них реагувати в міжгалузевій взаємодії.</w:t>
            </w:r>
          </w:p>
        </w:tc>
      </w:tr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Анотація (зміст) дисципліни</w:t>
            </w:r>
          </w:p>
        </w:tc>
        <w:tc>
          <w:tcPr>
            <w:tcW w:w="6520" w:type="dxa"/>
          </w:tcPr>
          <w:p w:rsidR="00AD6852" w:rsidRPr="000E6292" w:rsidRDefault="0020011D" w:rsidP="0020011D">
            <w:pPr>
              <w:widowControl w:val="0"/>
              <w:autoSpaceDE w:val="0"/>
              <w:autoSpaceDN w:val="0"/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1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1: Зв’язок гібридних загроз та предметної області</w:t>
            </w:r>
            <w:r w:rsidRPr="008261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cr/>
            </w:r>
            <w:r w:rsidR="00AD6852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Проблема забезпечення </w:t>
            </w:r>
            <w:r w:rsidR="008F1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національної </w:t>
            </w:r>
            <w:r w:rsidR="00AD6852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безпеки </w:t>
            </w:r>
            <w:r w:rsidR="008F1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r w:rsidR="00AD6852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негативного впливу гібридних</w:t>
            </w:r>
            <w:r w:rsidR="00AD6852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загроз 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AD6852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AD6852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 </w:t>
            </w:r>
            <w:r w:rsidR="004C7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критичної інфраструктури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D6852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D6852" w:rsidRPr="000E6292" w:rsidRDefault="00AD6852" w:rsidP="0020011D">
            <w:pPr>
              <w:widowControl w:val="0"/>
              <w:autoSpaceDE w:val="0"/>
              <w:autoSpaceDN w:val="0"/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Теоретико-метод</w:t>
            </w:r>
            <w:r w:rsidR="00D02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ичні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засади управління розвитком транспорт</w:t>
            </w:r>
            <w:r w:rsidR="00B045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системи</w:t>
            </w:r>
            <w:r w:rsidR="00D02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логістики 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умовах, спричинених </w:t>
            </w:r>
            <w:r w:rsidR="00D02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негативним впливом 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гібридни</w:t>
            </w:r>
            <w:r w:rsidR="00D02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загроз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03014" w:rsidRPr="000E6292" w:rsidRDefault="0020011D" w:rsidP="0020011D">
            <w:pPr>
              <w:widowControl w:val="0"/>
              <w:autoSpaceDE w:val="0"/>
              <w:autoSpaceDN w:val="0"/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1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2: Предметна область як об'єкт та інструмент гібридних впливів</w:t>
            </w:r>
            <w:r w:rsidRPr="008261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cr/>
            </w:r>
            <w:r w:rsidR="00AD6852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Наукові засади управління розвитком залізничного транспорту </w:t>
            </w:r>
            <w:r w:rsidR="00003014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D6852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03014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умовах, спричинених 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негативним впливом </w:t>
            </w:r>
            <w:r w:rsidR="00003014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гібридни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003014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загроз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03014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53D89" w:rsidRDefault="00AD6852" w:rsidP="0020011D">
            <w:pPr>
              <w:widowControl w:val="0"/>
              <w:autoSpaceDE w:val="0"/>
              <w:autoSpaceDN w:val="0"/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4. </w:t>
            </w:r>
            <w:r w:rsidR="00003014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отенціал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морського та річкового транспорту</w:t>
            </w:r>
            <w:r w:rsidR="00003014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умовах, спричинених 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негативним впливом </w:t>
            </w:r>
            <w:r w:rsidR="00453D89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гібридни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453D89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загроз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53D89" w:rsidRDefault="00AD6852" w:rsidP="0020011D">
            <w:pPr>
              <w:widowControl w:val="0"/>
              <w:autoSpaceDE w:val="0"/>
              <w:autoSpaceDN w:val="0"/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Наукові засади управління розвитком авто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мобільного транспорту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003014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умовах, спричинених 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негативним впливом </w:t>
            </w:r>
            <w:r w:rsidR="00453D89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гібридни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453D89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загроз</w:t>
            </w:r>
            <w:r w:rsidR="00453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53D89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D0A0F" w:rsidRDefault="00CD0A0F" w:rsidP="0020011D">
            <w:pPr>
              <w:widowControl w:val="0"/>
              <w:autoSpaceDE w:val="0"/>
              <w:autoSpaceDN w:val="0"/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потенціал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трубопровідного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транспорту в умовах, спричинених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негативним впливом 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гібридни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загроз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737F5" w:rsidRPr="000E6292" w:rsidRDefault="00A737F5" w:rsidP="0020011D">
            <w:pPr>
              <w:widowControl w:val="0"/>
              <w:autoSpaceDE w:val="0"/>
              <w:autoSpaceDN w:val="0"/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Теоретико-метод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ичні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засади управління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транзитним потенціалом України 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умовах, спричинених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негативним впливом 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гібридни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загроз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0011D" w:rsidRPr="008261A1" w:rsidRDefault="0020011D" w:rsidP="0020011D">
            <w:pPr>
              <w:widowControl w:val="0"/>
              <w:autoSpaceDE w:val="0"/>
              <w:autoSpaceDN w:val="0"/>
              <w:spacing w:after="0" w:line="240" w:lineRule="auto"/>
              <w:ind w:left="51"/>
              <w:jc w:val="both"/>
              <w:rPr>
                <w:b/>
                <w:sz w:val="20"/>
                <w:lang w:val="uk-UA"/>
              </w:rPr>
            </w:pPr>
            <w:r w:rsidRPr="008261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3. Основи захисту предметної області </w:t>
            </w:r>
          </w:p>
          <w:p w:rsidR="00453D89" w:rsidRPr="0020011D" w:rsidRDefault="00AD6852" w:rsidP="0020011D">
            <w:pPr>
              <w:widowControl w:val="0"/>
              <w:autoSpaceDE w:val="0"/>
              <w:autoSpaceDN w:val="0"/>
              <w:spacing w:after="0" w:line="240" w:lineRule="auto"/>
              <w:ind w:left="51"/>
              <w:jc w:val="both"/>
              <w:rPr>
                <w:sz w:val="20"/>
                <w:lang w:val="uk-UA"/>
              </w:rPr>
            </w:pPr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A737F5"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Безпекові</w:t>
            </w:r>
            <w:proofErr w:type="spellEnd"/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аспекти формування стратегії розвитку транспортної інфраструктури </w:t>
            </w:r>
            <w:r w:rsidR="00003014"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 в умовах, с</w:t>
            </w:r>
            <w:r w:rsidR="00A3233F"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причинених </w:t>
            </w:r>
            <w:r w:rsidR="00453D89"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негативним впливом гібридних загроз.</w:t>
            </w:r>
          </w:p>
          <w:p w:rsidR="00A737F5" w:rsidRPr="0020011D" w:rsidRDefault="00A737F5" w:rsidP="0020011D">
            <w:pPr>
              <w:widowControl w:val="0"/>
              <w:autoSpaceDE w:val="0"/>
              <w:autoSpaceDN w:val="0"/>
              <w:spacing w:after="0" w:line="240" w:lineRule="auto"/>
              <w:ind w:left="51"/>
              <w:jc w:val="both"/>
              <w:rPr>
                <w:sz w:val="20"/>
                <w:lang w:val="uk-UA"/>
              </w:rPr>
            </w:pPr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20011D"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Системний підхід в оцінюванні стану енергетичної безпеки та </w:t>
            </w:r>
            <w:proofErr w:type="spellStart"/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стратегуванні</w:t>
            </w:r>
            <w:proofErr w:type="spellEnd"/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управлінської діяльності </w:t>
            </w:r>
            <w:r w:rsidR="00B045F5"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транспорті та в логістиці </w:t>
            </w:r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умовах, спричинених негативним впливом гібридних загроз.</w:t>
            </w:r>
          </w:p>
          <w:p w:rsidR="00A3233F" w:rsidRPr="0020011D" w:rsidRDefault="0007420B" w:rsidP="0020011D">
            <w:pPr>
              <w:widowControl w:val="0"/>
              <w:autoSpaceDE w:val="0"/>
              <w:autoSpaceDN w:val="0"/>
              <w:spacing w:after="0" w:line="240" w:lineRule="auto"/>
              <w:ind w:left="51"/>
              <w:jc w:val="both"/>
              <w:rPr>
                <w:sz w:val="20"/>
                <w:lang w:val="uk-UA"/>
              </w:rPr>
            </w:pPr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A737F5"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ефективних логістичних систем управління в умовах, спричинених </w:t>
            </w:r>
            <w:r w:rsidR="0005743C" w:rsidRPr="00200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негативним впливом гібридних загроз.</w:t>
            </w:r>
          </w:p>
        </w:tc>
      </w:tr>
      <w:tr w:rsidR="001246A4" w:rsidRPr="000E6292" w:rsidTr="00C41EAA">
        <w:trPr>
          <w:trHeight w:val="2947"/>
        </w:trPr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Система оцінювання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88"/>
              <w:gridCol w:w="1575"/>
            </w:tblGrid>
            <w:tr w:rsidR="00544FF4" w:rsidRPr="000E6292" w:rsidTr="001246A4">
              <w:trPr>
                <w:trHeight w:val="551"/>
              </w:trPr>
              <w:tc>
                <w:tcPr>
                  <w:tcW w:w="4188" w:type="dxa"/>
                </w:tcPr>
                <w:p w:rsidR="00544FF4" w:rsidRPr="000E6292" w:rsidRDefault="00544FF4" w:rsidP="00A62086">
                  <w:pPr>
                    <w:pStyle w:val="TableParagraph"/>
                    <w:spacing w:before="131"/>
                    <w:ind w:left="1641" w:right="1634"/>
                    <w:jc w:val="center"/>
                    <w:rPr>
                      <w:i/>
                      <w:sz w:val="24"/>
                    </w:rPr>
                  </w:pPr>
                  <w:r w:rsidRPr="000E6292">
                    <w:rPr>
                      <w:i/>
                      <w:sz w:val="24"/>
                    </w:rPr>
                    <w:t>Вид</w:t>
                  </w:r>
                  <w:r w:rsidRPr="000E6292">
                    <w:rPr>
                      <w:i/>
                      <w:spacing w:val="-2"/>
                      <w:sz w:val="24"/>
                    </w:rPr>
                    <w:t xml:space="preserve"> </w:t>
                  </w:r>
                  <w:r w:rsidRPr="000E6292">
                    <w:rPr>
                      <w:i/>
                      <w:sz w:val="24"/>
                    </w:rPr>
                    <w:t>заняття</w:t>
                  </w:r>
                </w:p>
              </w:tc>
              <w:tc>
                <w:tcPr>
                  <w:tcW w:w="1575" w:type="dxa"/>
                </w:tcPr>
                <w:p w:rsidR="00544FF4" w:rsidRPr="000E6292" w:rsidRDefault="00544FF4" w:rsidP="00A62086">
                  <w:pPr>
                    <w:pStyle w:val="TableParagraph"/>
                    <w:spacing w:line="268" w:lineRule="exact"/>
                    <w:ind w:left="535"/>
                    <w:rPr>
                      <w:i/>
                      <w:sz w:val="24"/>
                    </w:rPr>
                  </w:pPr>
                  <w:r w:rsidRPr="000E6292">
                    <w:rPr>
                      <w:i/>
                      <w:sz w:val="24"/>
                    </w:rPr>
                    <w:t>1</w:t>
                  </w:r>
                  <w:r w:rsidRPr="000E6292">
                    <w:rPr>
                      <w:i/>
                      <w:spacing w:val="-3"/>
                      <w:sz w:val="24"/>
                    </w:rPr>
                    <w:t xml:space="preserve"> </w:t>
                  </w:r>
                  <w:r w:rsidRPr="000E6292">
                    <w:rPr>
                      <w:i/>
                      <w:sz w:val="24"/>
                    </w:rPr>
                    <w:t>зміст.</w:t>
                  </w:r>
                  <w:r w:rsidRPr="000E6292">
                    <w:rPr>
                      <w:i/>
                      <w:spacing w:val="-3"/>
                      <w:sz w:val="24"/>
                    </w:rPr>
                    <w:t xml:space="preserve"> </w:t>
                  </w:r>
                  <w:r w:rsidRPr="000E6292">
                    <w:rPr>
                      <w:i/>
                      <w:sz w:val="24"/>
                    </w:rPr>
                    <w:t>модуль</w:t>
                  </w:r>
                </w:p>
                <w:p w:rsidR="00544FF4" w:rsidRPr="000E6292" w:rsidRDefault="00544FF4" w:rsidP="00A62086">
                  <w:pPr>
                    <w:pStyle w:val="TableParagraph"/>
                    <w:spacing w:line="264" w:lineRule="exact"/>
                    <w:ind w:left="460"/>
                    <w:rPr>
                      <w:i/>
                      <w:sz w:val="24"/>
                    </w:rPr>
                  </w:pPr>
                  <w:r w:rsidRPr="000E6292">
                    <w:rPr>
                      <w:i/>
                      <w:sz w:val="24"/>
                    </w:rPr>
                    <w:t>(максимум</w:t>
                  </w:r>
                  <w:r w:rsidRPr="000E6292">
                    <w:rPr>
                      <w:i/>
                      <w:spacing w:val="-4"/>
                      <w:sz w:val="24"/>
                    </w:rPr>
                    <w:t xml:space="preserve"> </w:t>
                  </w:r>
                  <w:r w:rsidRPr="000E6292">
                    <w:rPr>
                      <w:i/>
                      <w:sz w:val="24"/>
                    </w:rPr>
                    <w:t>балів)</w:t>
                  </w:r>
                </w:p>
              </w:tc>
            </w:tr>
            <w:tr w:rsidR="00544FF4" w:rsidRPr="000E6292" w:rsidTr="001246A4">
              <w:trPr>
                <w:trHeight w:val="275"/>
              </w:trPr>
              <w:tc>
                <w:tcPr>
                  <w:tcW w:w="4188" w:type="dxa"/>
                </w:tcPr>
                <w:p w:rsidR="00544FF4" w:rsidRPr="000E6292" w:rsidRDefault="00544FF4" w:rsidP="00A62086">
                  <w:pPr>
                    <w:pStyle w:val="TableParagraph"/>
                    <w:spacing w:line="256" w:lineRule="exact"/>
                    <w:ind w:left="107"/>
                    <w:rPr>
                      <w:i/>
                      <w:sz w:val="24"/>
                    </w:rPr>
                  </w:pPr>
                  <w:r w:rsidRPr="000E6292">
                    <w:rPr>
                      <w:i/>
                      <w:sz w:val="24"/>
                    </w:rPr>
                    <w:t>Поточний</w:t>
                  </w:r>
                  <w:r w:rsidRPr="000E6292">
                    <w:rPr>
                      <w:i/>
                      <w:spacing w:val="-3"/>
                      <w:sz w:val="24"/>
                    </w:rPr>
                    <w:t xml:space="preserve"> </w:t>
                  </w:r>
                  <w:r w:rsidRPr="000E6292">
                    <w:rPr>
                      <w:i/>
                      <w:sz w:val="24"/>
                    </w:rPr>
                    <w:t>контроль</w:t>
                  </w:r>
                </w:p>
              </w:tc>
              <w:tc>
                <w:tcPr>
                  <w:tcW w:w="1575" w:type="dxa"/>
                </w:tcPr>
                <w:p w:rsidR="00544FF4" w:rsidRPr="000E6292" w:rsidRDefault="00174B8B" w:rsidP="00863393">
                  <w:pPr>
                    <w:pStyle w:val="TableParagraph"/>
                    <w:ind w:left="1066" w:hanging="1066"/>
                    <w:jc w:val="center"/>
                    <w:rPr>
                      <w:i/>
                      <w:sz w:val="24"/>
                    </w:rPr>
                  </w:pPr>
                  <w:proofErr w:type="spellStart"/>
                  <w:r w:rsidRPr="000E6292">
                    <w:rPr>
                      <w:i/>
                      <w:sz w:val="24"/>
                    </w:rPr>
                    <w:t>max</w:t>
                  </w:r>
                  <w:proofErr w:type="spellEnd"/>
                  <w:r w:rsidR="00544FF4" w:rsidRPr="000E6292">
                    <w:rPr>
                      <w:i/>
                      <w:sz w:val="24"/>
                    </w:rPr>
                    <w:t xml:space="preserve"> </w:t>
                  </w:r>
                  <w:r w:rsidR="00863393" w:rsidRPr="000E6292">
                    <w:rPr>
                      <w:i/>
                      <w:sz w:val="24"/>
                    </w:rPr>
                    <w:t>4</w:t>
                  </w:r>
                  <w:r w:rsidR="00544FF4" w:rsidRPr="000E6292">
                    <w:rPr>
                      <w:i/>
                      <w:sz w:val="24"/>
                    </w:rPr>
                    <w:t>0</w:t>
                  </w:r>
                </w:p>
              </w:tc>
            </w:tr>
            <w:tr w:rsidR="00544FF4" w:rsidRPr="000E6292" w:rsidTr="001246A4">
              <w:trPr>
                <w:trHeight w:val="340"/>
              </w:trPr>
              <w:tc>
                <w:tcPr>
                  <w:tcW w:w="4188" w:type="dxa"/>
                </w:tcPr>
                <w:p w:rsidR="00544FF4" w:rsidRPr="000E6292" w:rsidRDefault="00544FF4" w:rsidP="00A62086">
                  <w:pPr>
                    <w:pStyle w:val="TableParagraph"/>
                    <w:spacing w:before="25"/>
                    <w:ind w:left="107"/>
                    <w:rPr>
                      <w:i/>
                      <w:sz w:val="24"/>
                    </w:rPr>
                  </w:pPr>
                  <w:r w:rsidRPr="000E6292">
                    <w:rPr>
                      <w:i/>
                      <w:sz w:val="24"/>
                    </w:rPr>
                    <w:t>Модульний</w:t>
                  </w:r>
                  <w:r w:rsidRPr="000E6292">
                    <w:rPr>
                      <w:i/>
                      <w:spacing w:val="-4"/>
                      <w:sz w:val="24"/>
                    </w:rPr>
                    <w:t xml:space="preserve"> </w:t>
                  </w:r>
                  <w:r w:rsidRPr="000E6292">
                    <w:rPr>
                      <w:i/>
                      <w:sz w:val="24"/>
                    </w:rPr>
                    <w:t>контроль</w:t>
                  </w:r>
                  <w:r w:rsidRPr="000E6292">
                    <w:rPr>
                      <w:i/>
                      <w:spacing w:val="-3"/>
                      <w:sz w:val="24"/>
                    </w:rPr>
                    <w:t xml:space="preserve"> </w:t>
                  </w:r>
                  <w:r w:rsidRPr="000E6292">
                    <w:rPr>
                      <w:i/>
                      <w:sz w:val="24"/>
                    </w:rPr>
                    <w:t>(МК)</w:t>
                  </w:r>
                </w:p>
              </w:tc>
              <w:tc>
                <w:tcPr>
                  <w:tcW w:w="1575" w:type="dxa"/>
                </w:tcPr>
                <w:p w:rsidR="00544FF4" w:rsidRPr="000E6292" w:rsidRDefault="00174B8B" w:rsidP="00863393">
                  <w:pPr>
                    <w:pStyle w:val="TableParagraph"/>
                    <w:ind w:left="1066" w:hanging="1066"/>
                    <w:jc w:val="center"/>
                    <w:rPr>
                      <w:i/>
                      <w:sz w:val="24"/>
                    </w:rPr>
                  </w:pPr>
                  <w:proofErr w:type="spellStart"/>
                  <w:r w:rsidRPr="000E6292">
                    <w:rPr>
                      <w:i/>
                      <w:sz w:val="24"/>
                    </w:rPr>
                    <w:t>max</w:t>
                  </w:r>
                  <w:proofErr w:type="spellEnd"/>
                  <w:r w:rsidR="00863393" w:rsidRPr="000E6292">
                    <w:rPr>
                      <w:i/>
                      <w:sz w:val="24"/>
                    </w:rPr>
                    <w:t xml:space="preserve"> 2</w:t>
                  </w:r>
                  <w:r w:rsidR="00544FF4" w:rsidRPr="000E6292">
                    <w:rPr>
                      <w:i/>
                      <w:sz w:val="24"/>
                    </w:rPr>
                    <w:t>0</w:t>
                  </w:r>
                </w:p>
              </w:tc>
            </w:tr>
            <w:tr w:rsidR="00544FF4" w:rsidRPr="000E6292" w:rsidTr="001246A4">
              <w:trPr>
                <w:trHeight w:val="340"/>
              </w:trPr>
              <w:tc>
                <w:tcPr>
                  <w:tcW w:w="4188" w:type="dxa"/>
                </w:tcPr>
                <w:p w:rsidR="00544FF4" w:rsidRPr="000E6292" w:rsidRDefault="00544FF4" w:rsidP="00A62086">
                  <w:pPr>
                    <w:pStyle w:val="TableParagraph"/>
                    <w:spacing w:before="26"/>
                    <w:ind w:left="107"/>
                    <w:rPr>
                      <w:i/>
                      <w:sz w:val="24"/>
                    </w:rPr>
                  </w:pPr>
                  <w:r w:rsidRPr="000E6292">
                    <w:rPr>
                      <w:i/>
                      <w:sz w:val="24"/>
                    </w:rPr>
                    <w:t>Екзамен</w:t>
                  </w:r>
                </w:p>
              </w:tc>
              <w:tc>
                <w:tcPr>
                  <w:tcW w:w="1575" w:type="dxa"/>
                </w:tcPr>
                <w:p w:rsidR="00544FF4" w:rsidRPr="000E6292" w:rsidRDefault="00174B8B" w:rsidP="00863393">
                  <w:pPr>
                    <w:pStyle w:val="TableParagraph"/>
                    <w:ind w:left="1066" w:hanging="1066"/>
                    <w:jc w:val="center"/>
                    <w:rPr>
                      <w:i/>
                      <w:sz w:val="24"/>
                    </w:rPr>
                  </w:pPr>
                  <w:proofErr w:type="spellStart"/>
                  <w:r w:rsidRPr="000E6292">
                    <w:rPr>
                      <w:i/>
                      <w:sz w:val="24"/>
                    </w:rPr>
                    <w:t>max</w:t>
                  </w:r>
                  <w:proofErr w:type="spellEnd"/>
                  <w:r w:rsidR="00544FF4" w:rsidRPr="000E6292">
                    <w:rPr>
                      <w:i/>
                      <w:sz w:val="24"/>
                    </w:rPr>
                    <w:t xml:space="preserve"> 40 </w:t>
                  </w:r>
                </w:p>
              </w:tc>
            </w:tr>
          </w:tbl>
          <w:p w:rsidR="00544FF4" w:rsidRPr="000E6292" w:rsidRDefault="00174B8B" w:rsidP="00544FF4">
            <w:pPr>
              <w:spacing w:line="240" w:lineRule="auto"/>
              <w:ind w:left="5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кількість балів – 100 (60 та більше – зараховано, 59 та менше – не зараховано)</w:t>
            </w:r>
          </w:p>
        </w:tc>
      </w:tr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Якість освітнього процесу </w:t>
            </w:r>
          </w:p>
        </w:tc>
        <w:tc>
          <w:tcPr>
            <w:tcW w:w="6520" w:type="dxa"/>
            <w:shd w:val="clear" w:color="auto" w:fill="auto"/>
          </w:tcPr>
          <w:p w:rsidR="008B63B6" w:rsidRPr="000E6292" w:rsidRDefault="00174B8B" w:rsidP="00174B8B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принципів академічної доброчесності здійснюється відповідно до </w:t>
            </w:r>
            <w:r w:rsidR="008B63B6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Кодексу академічної доброчесності Державного університету інфраструктури та технологій</w:t>
            </w:r>
            <w:r w:rsidR="000B7FEE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Положення про систему забезпечення академічної доброчесності у Державному університеті інфраструктури та технологій та принципам академічної доброчесності, викладеним в Положенні про </w:t>
            </w:r>
            <w:hyperlink r:id="rId5" w:history="1">
              <w:r w:rsidR="000B7FEE" w:rsidRPr="000E62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організацію освітнього процесу </w:t>
              </w:r>
            </w:hyperlink>
            <w:r w:rsidR="000B7FEE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 Державному університеті інфраструктури та технологій, п.4.9</w:t>
            </w:r>
            <w:r w:rsidR="008B63B6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74B8B" w:rsidRPr="000E6292" w:rsidRDefault="00174B8B" w:rsidP="00174B8B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Інструментом контрольних заходів є рейтингове оцінювання студентів. Кожний бал надається за конкретне досягнення, перелік яких оприлюднюється на початку курсу. Протягом семестру студенти "набирають" певну кількість балів за результати своєї роботи.</w:t>
            </w:r>
          </w:p>
          <w:p w:rsidR="008B63B6" w:rsidRPr="000E6292" w:rsidRDefault="00174B8B" w:rsidP="008B63B6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Всі практичні роботи мають груповий характер та виконуються на занятті. </w:t>
            </w:r>
          </w:p>
          <w:p w:rsidR="004F5220" w:rsidRPr="000E6292" w:rsidRDefault="00174B8B" w:rsidP="008B63B6">
            <w:pPr>
              <w:spacing w:line="24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завершенню </w:t>
            </w:r>
            <w:proofErr w:type="spellStart"/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курса</w:t>
            </w:r>
            <w:proofErr w:type="spellEnd"/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проводиться анонімне опитування студентів для отримання </w:t>
            </w:r>
            <w:proofErr w:type="spellStart"/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зворотнього</w:t>
            </w:r>
            <w:proofErr w:type="spellEnd"/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зв'язку щодо корисності запропонованого матеріалу та складності виконання роботи.</w:t>
            </w:r>
          </w:p>
        </w:tc>
      </w:tr>
      <w:tr w:rsidR="001246A4" w:rsidRPr="000E6292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410B4E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0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Сторінка курсу на платформі </w:t>
            </w:r>
            <w:proofErr w:type="spellStart"/>
            <w:r w:rsidRPr="00410B4E"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4F5220" w:rsidRPr="000E6292" w:rsidRDefault="00174B8B" w:rsidP="00A62086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10B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</w:t>
            </w:r>
          </w:p>
        </w:tc>
      </w:tr>
      <w:tr w:rsidR="001246A4" w:rsidRPr="00410B4E" w:rsidTr="00C41EAA">
        <w:tc>
          <w:tcPr>
            <w:tcW w:w="445" w:type="dxa"/>
          </w:tcPr>
          <w:p w:rsidR="004F5220" w:rsidRPr="000E6292" w:rsidRDefault="004F5220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F5220" w:rsidRPr="000E6292" w:rsidRDefault="004F5220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520" w:type="dxa"/>
            <w:shd w:val="clear" w:color="auto" w:fill="auto"/>
          </w:tcPr>
          <w:p w:rsidR="001246A4" w:rsidRPr="000F3B02" w:rsidRDefault="00F05042" w:rsidP="000F3B0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Електронний</w:t>
            </w:r>
            <w:r w:rsidR="001246A4"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ресурс: Європейський центр з протидії гібридним загрозам </w:t>
            </w:r>
            <w:proofErr w:type="spellStart"/>
            <w:r w:rsidR="001246A4"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="001246A4"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246A4"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CoE</w:t>
            </w:r>
            <w:proofErr w:type="spellEnd"/>
            <w:r w:rsidR="005253EC" w:rsidRPr="000F3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6A4"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253EC" w:rsidRPr="000F3B02">
              <w:rPr>
                <w:rFonts w:ascii="Times New Roman" w:hAnsi="Times New Roman" w:cs="Times New Roman"/>
                <w:sz w:val="24"/>
                <w:szCs w:val="24"/>
                <w:shd w:val="clear" w:color="auto" w:fill="FEFFFE"/>
                <w:lang w:val="uk-UA"/>
              </w:rPr>
              <w:t xml:space="preserve">URL: </w:t>
            </w:r>
            <w:hyperlink r:id="rId6" w:history="1">
              <w:r w:rsidR="001246A4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https://www.hybridcoe.fi/</w:t>
              </w:r>
            </w:hyperlink>
          </w:p>
          <w:p w:rsidR="001246A4" w:rsidRPr="000F3B02" w:rsidRDefault="001246A4" w:rsidP="000F3B0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Глосарій гібридних загроз</w:t>
            </w:r>
            <w:r w:rsidR="005253EC" w:rsidRPr="000F3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253EC" w:rsidRPr="000F3B02">
              <w:rPr>
                <w:rFonts w:ascii="Times New Roman" w:hAnsi="Times New Roman" w:cs="Times New Roman"/>
                <w:sz w:val="24"/>
                <w:szCs w:val="24"/>
                <w:shd w:val="clear" w:color="auto" w:fill="FEFFFE"/>
                <w:lang w:val="uk-UA"/>
              </w:rPr>
              <w:t xml:space="preserve">URL: </w:t>
            </w:r>
            <w:hyperlink r:id="rId7" w:history="1">
              <w:r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https://warn-erasmus.eu/ua/glossary/</w:t>
              </w:r>
            </w:hyperlink>
          </w:p>
          <w:p w:rsidR="00F05042" w:rsidRPr="000F3B02" w:rsidRDefault="00F05042" w:rsidP="000F3B0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Commission’s White Paper ‘Roadmap to a single European</w:t>
            </w:r>
            <w:r w:rsidR="005253EC"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 area </w:t>
            </w:r>
            <w:r w:rsidR="005253EC"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Towards a competitive and resource-efficient transport system’ (</w:t>
            </w:r>
            <w:proofErr w:type="gramStart"/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COM(</w:t>
            </w:r>
            <w:proofErr w:type="gramEnd"/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2011) 144 final of 28 March 2011).</w:t>
            </w:r>
            <w:r w:rsidR="00D30C8F" w:rsidRPr="000F3B02">
              <w:rPr>
                <w:rFonts w:ascii="Times New Roman" w:hAnsi="Times New Roman" w:cs="Times New Roman"/>
                <w:sz w:val="24"/>
                <w:szCs w:val="24"/>
                <w:shd w:val="clear" w:color="auto" w:fill="FEFFFE"/>
                <w:lang w:val="uk-UA"/>
              </w:rPr>
              <w:t xml:space="preserve"> URL:</w:t>
            </w:r>
            <w:r w:rsidR="005253EC"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064AC2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https://ec.europa.eu/transport/sites/default/files/themes/strategies/doc/2011_white_paper/white-paper-illustrated-brochure_en.pdf</w:t>
              </w:r>
            </w:hyperlink>
          </w:p>
          <w:p w:rsidR="00730CAA" w:rsidRPr="000F3B02" w:rsidRDefault="00730CAA" w:rsidP="000F3B0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5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</w:pP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European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Commission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puts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forward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action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plan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to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improve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security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rail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passengers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in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EU. URL: </w:t>
            </w:r>
            <w:hyperlink r:id="rId9" w:history="1">
              <w:r w:rsidR="00064AC2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EFFFE"/>
                  <w:lang w:val="uk-UA"/>
                </w:rPr>
                <w:t>https://ec.europa.eu/transport/modes/rail/news/2018-06-12-action-plan-security-rail-passengers_en</w:t>
              </w:r>
            </w:hyperlink>
          </w:p>
          <w:p w:rsidR="00730CAA" w:rsidRPr="000F3B02" w:rsidRDefault="00730CAA" w:rsidP="000F3B0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5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</w:pP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Road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Security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Toolkit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. URL: </w:t>
            </w:r>
            <w:hyperlink r:id="rId10" w:history="1">
              <w:r w:rsidR="00064AC2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EFFFE"/>
                  <w:lang w:val="uk-UA"/>
                </w:rPr>
                <w:t>https://ec.europa.eu/transport/themes/security/land_security/road-security-toolkit_en</w:t>
              </w:r>
            </w:hyperlink>
          </w:p>
          <w:p w:rsidR="00730CAA" w:rsidRPr="000F3B02" w:rsidRDefault="00730CAA" w:rsidP="000F3B0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5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</w:pP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Commission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Implementing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Regulation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(EU) 2019/947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24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May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2019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on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rules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and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procedures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for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operation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unmanned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aircraft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, OJ L 152, 11.6.2019. URL: </w:t>
            </w:r>
            <w:hyperlink r:id="rId11" w:history="1">
              <w:r w:rsidR="00064AC2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EFFFE"/>
                  <w:lang w:val="uk-UA"/>
                </w:rPr>
                <w:t>https://eur-lex.europa.eu/eli/reg_impl/2019/947/oj</w:t>
              </w:r>
            </w:hyperlink>
          </w:p>
          <w:p w:rsidR="00064AC2" w:rsidRPr="000F3B02" w:rsidRDefault="00730CAA" w:rsidP="000F3B0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5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</w:pP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Maritime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security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: EU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revises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its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action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plan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. URL: </w:t>
            </w:r>
          </w:p>
          <w:p w:rsidR="00064AC2" w:rsidRPr="000F3B02" w:rsidRDefault="00E81ABB" w:rsidP="000F3B0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5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</w:pPr>
            <w:hyperlink r:id="rId12" w:history="1">
              <w:r w:rsidR="00064AC2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EFFFE"/>
                  <w:lang w:val="uk-UA"/>
                </w:rPr>
                <w:t>https://www.consilium.europa.eu/en/press/press-releases/2018/06/26/maritime-security-eu-revises-its-action-plan/</w:t>
              </w:r>
            </w:hyperlink>
          </w:p>
          <w:p w:rsidR="00730CAA" w:rsidRPr="000F3B02" w:rsidRDefault="00730CAA" w:rsidP="000F3B0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5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</w:pP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Directive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(EU) 2016/1148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European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Parliament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and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Council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6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July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2016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concerning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measures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for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a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high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common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level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security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network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and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information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systems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across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Union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//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Official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Journal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European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>Union</w:t>
            </w:r>
            <w:proofErr w:type="spellEnd"/>
            <w:r w:rsidRPr="000F3B0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EFFFE"/>
                <w:lang w:val="uk-UA"/>
              </w:rPr>
              <w:t xml:space="preserve">. URL: </w:t>
            </w:r>
            <w:hyperlink r:id="rId13" w:history="1">
              <w:r w:rsidR="002E7DC8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EFFFE"/>
                  <w:lang w:val="uk-UA"/>
                </w:rPr>
                <w:t>https://eur-lex.europa.eu/legal-content/EN/TXT/?uri=CELEX%3A32016L1148</w:t>
              </w:r>
            </w:hyperlink>
          </w:p>
          <w:p w:rsidR="001246A4" w:rsidRPr="000F3B02" w:rsidRDefault="001246A4" w:rsidP="000F3B0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Treverton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G. F.,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Thvedt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A.,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Chen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A. R.,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K., &amp;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McCue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M. (2018).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Addressing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threats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-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Swedish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Defence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University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ISBN 978-91-86137-73-1. URL: </w:t>
            </w:r>
            <w:hyperlink r:id="rId14" w:history="1">
              <w:r w:rsidR="00064AC2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https://www.hybridcoe.fi/wp-content/uploads/2018/05/Treverton-AddressingHybridThreats.pdf</w:t>
              </w:r>
            </w:hyperlink>
          </w:p>
          <w:p w:rsidR="001246A4" w:rsidRPr="000F3B02" w:rsidRDefault="001246A4" w:rsidP="000F3B0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EU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Security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Union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Strategy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connecting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dots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new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security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ecosystem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ULR: </w:t>
            </w:r>
            <w:hyperlink r:id="rId15" w:history="1">
              <w:r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file:///C:/Users/user/Downloads/EU_Security_Union_Strategy__connecting_the_dots_in_a_new_security_ecosystem.pdf</w:t>
              </w:r>
            </w:hyperlink>
          </w:p>
          <w:p w:rsidR="00FF592C" w:rsidRPr="000F3B02" w:rsidRDefault="001246A4" w:rsidP="000F3B0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JOINT STAFF WORKING DOCUMENT.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Report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implementation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2016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Joint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Framework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countering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threats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2018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Joint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Communication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increasing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resilience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bolstering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capabilities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address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threats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Brussels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24.7.2020.SWD(2020) 153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final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URL: </w:t>
            </w:r>
            <w:hyperlink r:id="rId16" w:history="1">
              <w:r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https://ec.europa.eu/transparency/regdoc/rep/10102/2020/EN/SWD-2020-153-F1-EN-MAIN-PART-1.PDF</w:t>
              </w:r>
            </w:hyperlink>
          </w:p>
          <w:p w:rsidR="000B7FEE" w:rsidRPr="000F3B02" w:rsidRDefault="000B7FEE" w:rsidP="000F3B0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community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threats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Report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Pasi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Eronen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Foundation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Defense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Democracies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Helsinki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2018.</w:t>
            </w:r>
            <w:r w:rsidR="001246A4"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URL: </w:t>
            </w:r>
            <w:hyperlink r:id="rId17" w:anchor="/page=1" w:history="1">
              <w:r w:rsidR="00540262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https://view.24mags.com/mobilev/bbc43250c51aa3c0b599cb18066f3c#/page=1</w:t>
              </w:r>
            </w:hyperlink>
          </w:p>
          <w:p w:rsidR="000B7FEE" w:rsidRPr="000F3B02" w:rsidRDefault="000B7FEE" w:rsidP="000F3B0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Giannopoulos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G.,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Smith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H.,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Theocharidou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M.,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Landscape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Threats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A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conceptual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model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EUR 30585 EN,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Publications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Office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European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Union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Luxembourg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2021, ISBN 978-92-76-29819-9, doi:10.2760/44985, JRC123305</w:t>
            </w:r>
            <w:r w:rsidR="001246A4"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URL: </w:t>
            </w:r>
            <w:hyperlink r:id="rId18" w:history="1">
              <w:r w:rsidR="00540262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https://publications.jrc.ec.europa.eu/repository/handle/JRC123305</w:t>
              </w:r>
            </w:hyperlink>
          </w:p>
          <w:p w:rsidR="00540262" w:rsidRPr="000F3B02" w:rsidRDefault="000B7FEE" w:rsidP="000F3B0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Harjanne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A.,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Muilu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E.,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Pääkkönen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J.,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Smith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H.  (2018)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Helsinki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era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threats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influencing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city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Helsinki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Finland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Hybrid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2295E"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1ABB" w:rsidRPr="000F3B02">
              <w:rPr>
                <w:sz w:val="24"/>
                <w:szCs w:val="24"/>
              </w:rPr>
              <w:fldChar w:fldCharType="begin"/>
            </w:r>
            <w:r w:rsidR="00E81ABB" w:rsidRPr="000F3B02">
              <w:rPr>
                <w:sz w:val="24"/>
                <w:szCs w:val="24"/>
              </w:rPr>
              <w:instrText xml:space="preserve"> HYPERLINK "URL:https://www.hel.fi/static/kanslia/Julkaisut/2018/hybridiraportti_eng_020818_netti.pdf" </w:instrText>
            </w:r>
            <w:r w:rsidR="00E81ABB" w:rsidRPr="000F3B02">
              <w:rPr>
                <w:sz w:val="24"/>
                <w:szCs w:val="24"/>
              </w:rPr>
              <w:fldChar w:fldCharType="separate"/>
            </w:r>
            <w:r w:rsidR="00540262" w:rsidRPr="000F3B02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URL:https://www.hel.fi/static/kanslia/Julkaisut/2018/hybridiraportti_eng_020818_netti.pdf</w:t>
            </w:r>
            <w:r w:rsidR="00E81ABB" w:rsidRPr="000F3B02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  <w:p w:rsidR="00170E59" w:rsidRPr="000F3B02" w:rsidRDefault="00170E59" w:rsidP="000F3B0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Douglas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Arent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Channing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Arndt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Mackay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Miller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Finn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Tarp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Owen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Zinaman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Political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Economy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Clean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Energy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Transitions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Print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ISBN-13: 9780198802242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Published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Oxford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Scholarship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Online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May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2017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DOI:10.1093/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oso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/9780198802242.001.0001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URL:</w:t>
            </w:r>
            <w:r w:rsidRPr="000F3B02">
              <w:rPr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="00064AC2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https://oxford.universitypressscholarship.com/view/10.1093/oso/9780198802242.001.0001/oso-9780198802242</w:t>
              </w:r>
            </w:hyperlink>
          </w:p>
          <w:p w:rsidR="00730CAA" w:rsidRPr="000F3B02" w:rsidRDefault="00A33313" w:rsidP="000F3B0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Energy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security</w:t>
            </w:r>
            <w:proofErr w:type="spellEnd"/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URL:</w:t>
            </w:r>
            <w:r w:rsidRPr="000F3B02">
              <w:rPr>
                <w:sz w:val="24"/>
                <w:szCs w:val="24"/>
                <w:lang w:val="en-US"/>
              </w:rPr>
              <w:t xml:space="preserve"> </w:t>
            </w:r>
            <w:hyperlink r:id="rId20" w:history="1">
              <w:r w:rsidR="006B59DA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https://ec.europa.eu/energy/topics/energy-security_en</w:t>
              </w:r>
            </w:hyperlink>
          </w:p>
          <w:p w:rsidR="00025B41" w:rsidRPr="000F3B02" w:rsidRDefault="006B59DA" w:rsidP="000F3B0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Energy Security Strategy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COMMUNICATION FROM THE COMMISSION TO THE EUROPEAN PARLIAMENT AND THE COUNCIL {</w:t>
            </w:r>
            <w:proofErr w:type="gramStart"/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SWD(</w:t>
            </w:r>
            <w:proofErr w:type="gramEnd"/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2014) 330 final}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Brussels, 28.5.2014 COM(2014) 330 final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3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URL: </w:t>
            </w:r>
            <w:hyperlink r:id="rId21" w:history="1">
              <w:r w:rsidR="00025B41" w:rsidRPr="000F3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https://eur-lex.europa.eu/legal-content/EN/TXT/PDF/?uri=CELEX:52014DC0330&amp;from=EN</w:t>
              </w:r>
            </w:hyperlink>
          </w:p>
        </w:tc>
      </w:tr>
      <w:tr w:rsidR="00885A41" w:rsidRPr="00410B4E" w:rsidTr="00C41EAA">
        <w:tc>
          <w:tcPr>
            <w:tcW w:w="445" w:type="dxa"/>
          </w:tcPr>
          <w:p w:rsidR="00885A41" w:rsidRPr="000E6292" w:rsidRDefault="00885A41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885A41" w:rsidRPr="000E6292" w:rsidRDefault="00885A41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Матеріально-технічне, лабораторне, програмне забезпечення дисципліни</w:t>
            </w:r>
          </w:p>
        </w:tc>
        <w:tc>
          <w:tcPr>
            <w:tcW w:w="6520" w:type="dxa"/>
            <w:shd w:val="clear" w:color="auto" w:fill="auto"/>
          </w:tcPr>
          <w:p w:rsidR="00885A41" w:rsidRPr="000E6292" w:rsidRDefault="00885A41" w:rsidP="00C41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Спеціалізована навчальна лабораторія є складовою факультету управління і технологій Державного університету інфраструктури та технологій, учасником  міжгалузевого середовища з протидії гібридним загрозам WARN. </w:t>
            </w:r>
          </w:p>
          <w:p w:rsidR="00885A41" w:rsidRPr="000E6292" w:rsidRDefault="00885A41" w:rsidP="00C41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2021 році лабораторія отримала потужне комп’ютерне обладнання на загальну суму більш ніж </w:t>
            </w:r>
            <w:r w:rsidR="004971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736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</w:t>
            </w:r>
            <w:r w:rsidR="004971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грн, профінансоване грантом проєкту </w:t>
            </w:r>
            <w:proofErr w:type="spellStart"/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Еразмус</w:t>
            </w:r>
            <w:proofErr w:type="spellEnd"/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 "Академічна протидія гібридним загрозам – WARN" (610133-EPP-1-2019-1-FI-EPPKA2-CBHE-JP)</w:t>
            </w:r>
          </w:p>
        </w:tc>
      </w:tr>
      <w:tr w:rsidR="00885A41" w:rsidRPr="000E6292" w:rsidTr="00C41EAA">
        <w:tc>
          <w:tcPr>
            <w:tcW w:w="445" w:type="dxa"/>
          </w:tcPr>
          <w:p w:rsidR="00885A41" w:rsidRPr="000E6292" w:rsidRDefault="00885A41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885A41" w:rsidRPr="000E6292" w:rsidRDefault="00885A41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520" w:type="dxa"/>
          </w:tcPr>
          <w:p w:rsidR="00885A41" w:rsidRPr="000E6292" w:rsidRDefault="00885A41" w:rsidP="00885A41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 менеджменту, публічного управління та адміністрування, </w:t>
            </w:r>
            <w:proofErr w:type="spellStart"/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608,</w:t>
            </w:r>
          </w:p>
        </w:tc>
      </w:tr>
      <w:tr w:rsidR="00885A41" w:rsidRPr="000E6292" w:rsidTr="00C41EAA">
        <w:tc>
          <w:tcPr>
            <w:tcW w:w="445" w:type="dxa"/>
          </w:tcPr>
          <w:p w:rsidR="00885A41" w:rsidRPr="000E6292" w:rsidRDefault="00885A41" w:rsidP="00A6208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885A41" w:rsidRPr="000E6292" w:rsidRDefault="00885A41" w:rsidP="00A6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Викладач(і) – розробник(и) </w:t>
            </w:r>
            <w:proofErr w:type="spellStart"/>
            <w:r w:rsidRPr="000E6292">
              <w:rPr>
                <w:rFonts w:ascii="Times New Roman" w:hAnsi="Times New Roman"/>
                <w:sz w:val="24"/>
                <w:szCs w:val="24"/>
                <w:lang w:val="uk-UA"/>
              </w:rPr>
              <w:t>силабусу</w:t>
            </w:r>
            <w:proofErr w:type="spellEnd"/>
          </w:p>
        </w:tc>
        <w:tc>
          <w:tcPr>
            <w:tcW w:w="6520" w:type="dxa"/>
          </w:tcPr>
          <w:p w:rsidR="00885A41" w:rsidRPr="000E6292" w:rsidRDefault="00885A41" w:rsidP="00885A41">
            <w:pPr>
              <w:spacing w:after="0" w:line="240" w:lineRule="auto"/>
              <w:ind w:left="50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Карпенко Оксана Олександрівна, </w:t>
            </w:r>
            <w:proofErr w:type="spellStart"/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д.е.н</w:t>
            </w:r>
            <w:proofErr w:type="spellEnd"/>
            <w:r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професор, </w:t>
            </w:r>
            <w:r w:rsidR="002C22CF" w:rsidRPr="000E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karpo_2004@ukr.net</w:t>
            </w:r>
          </w:p>
        </w:tc>
      </w:tr>
    </w:tbl>
    <w:p w:rsidR="00791B65" w:rsidRPr="000E6292" w:rsidRDefault="00791B65" w:rsidP="00C41EAA">
      <w:pPr>
        <w:rPr>
          <w:lang w:val="uk-UA"/>
        </w:rPr>
      </w:pPr>
    </w:p>
    <w:sectPr w:rsidR="00791B65" w:rsidRPr="000E6292" w:rsidSect="00C41E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180"/>
    <w:multiLevelType w:val="hybridMultilevel"/>
    <w:tmpl w:val="8DF2F0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E16B7"/>
    <w:multiLevelType w:val="hybridMultilevel"/>
    <w:tmpl w:val="5338DC2E"/>
    <w:lvl w:ilvl="0" w:tplc="5AB670EC">
      <w:numFmt w:val="bullet"/>
      <w:lvlText w:val=""/>
      <w:lvlJc w:val="left"/>
      <w:pPr>
        <w:ind w:left="335" w:hanging="228"/>
      </w:pPr>
      <w:rPr>
        <w:rFonts w:hint="default"/>
        <w:w w:val="100"/>
        <w:lang w:val="uk-UA" w:eastAsia="en-US" w:bidi="ar-SA"/>
      </w:rPr>
    </w:lvl>
    <w:lvl w:ilvl="1" w:tplc="7F3A4214">
      <w:numFmt w:val="bullet"/>
      <w:lvlText w:val="•"/>
      <w:lvlJc w:val="left"/>
      <w:pPr>
        <w:ind w:left="1322" w:hanging="228"/>
      </w:pPr>
      <w:rPr>
        <w:rFonts w:hint="default"/>
        <w:lang w:val="uk-UA" w:eastAsia="en-US" w:bidi="ar-SA"/>
      </w:rPr>
    </w:lvl>
    <w:lvl w:ilvl="2" w:tplc="794E000A">
      <w:numFmt w:val="bullet"/>
      <w:lvlText w:val="•"/>
      <w:lvlJc w:val="left"/>
      <w:pPr>
        <w:ind w:left="2304" w:hanging="228"/>
      </w:pPr>
      <w:rPr>
        <w:rFonts w:hint="default"/>
        <w:lang w:val="uk-UA" w:eastAsia="en-US" w:bidi="ar-SA"/>
      </w:rPr>
    </w:lvl>
    <w:lvl w:ilvl="3" w:tplc="D02E092A">
      <w:numFmt w:val="bullet"/>
      <w:lvlText w:val="•"/>
      <w:lvlJc w:val="left"/>
      <w:pPr>
        <w:ind w:left="3287" w:hanging="228"/>
      </w:pPr>
      <w:rPr>
        <w:rFonts w:hint="default"/>
        <w:lang w:val="uk-UA" w:eastAsia="en-US" w:bidi="ar-SA"/>
      </w:rPr>
    </w:lvl>
    <w:lvl w:ilvl="4" w:tplc="CFA8D84A">
      <w:numFmt w:val="bullet"/>
      <w:lvlText w:val="•"/>
      <w:lvlJc w:val="left"/>
      <w:pPr>
        <w:ind w:left="4269" w:hanging="228"/>
      </w:pPr>
      <w:rPr>
        <w:rFonts w:hint="default"/>
        <w:lang w:val="uk-UA" w:eastAsia="en-US" w:bidi="ar-SA"/>
      </w:rPr>
    </w:lvl>
    <w:lvl w:ilvl="5" w:tplc="0D1C5224">
      <w:numFmt w:val="bullet"/>
      <w:lvlText w:val="•"/>
      <w:lvlJc w:val="left"/>
      <w:pPr>
        <w:ind w:left="5252" w:hanging="228"/>
      </w:pPr>
      <w:rPr>
        <w:rFonts w:hint="default"/>
        <w:lang w:val="uk-UA" w:eastAsia="en-US" w:bidi="ar-SA"/>
      </w:rPr>
    </w:lvl>
    <w:lvl w:ilvl="6" w:tplc="952090B2">
      <w:numFmt w:val="bullet"/>
      <w:lvlText w:val="•"/>
      <w:lvlJc w:val="left"/>
      <w:pPr>
        <w:ind w:left="6234" w:hanging="228"/>
      </w:pPr>
      <w:rPr>
        <w:rFonts w:hint="default"/>
        <w:lang w:val="uk-UA" w:eastAsia="en-US" w:bidi="ar-SA"/>
      </w:rPr>
    </w:lvl>
    <w:lvl w:ilvl="7" w:tplc="98DA62A8">
      <w:numFmt w:val="bullet"/>
      <w:lvlText w:val="•"/>
      <w:lvlJc w:val="left"/>
      <w:pPr>
        <w:ind w:left="7216" w:hanging="228"/>
      </w:pPr>
      <w:rPr>
        <w:rFonts w:hint="default"/>
        <w:lang w:val="uk-UA" w:eastAsia="en-US" w:bidi="ar-SA"/>
      </w:rPr>
    </w:lvl>
    <w:lvl w:ilvl="8" w:tplc="37309912">
      <w:numFmt w:val="bullet"/>
      <w:lvlText w:val="•"/>
      <w:lvlJc w:val="left"/>
      <w:pPr>
        <w:ind w:left="8199" w:hanging="228"/>
      </w:pPr>
      <w:rPr>
        <w:rFonts w:hint="default"/>
        <w:lang w:val="uk-UA" w:eastAsia="en-US" w:bidi="ar-SA"/>
      </w:rPr>
    </w:lvl>
  </w:abstractNum>
  <w:abstractNum w:abstractNumId="2" w15:restartNumberingAfterBreak="0">
    <w:nsid w:val="1A833A80"/>
    <w:multiLevelType w:val="hybridMultilevel"/>
    <w:tmpl w:val="07B87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7792"/>
    <w:multiLevelType w:val="hybridMultilevel"/>
    <w:tmpl w:val="DD98A6D0"/>
    <w:lvl w:ilvl="0" w:tplc="04190001">
      <w:start w:val="1"/>
      <w:numFmt w:val="bullet"/>
      <w:lvlText w:val=""/>
      <w:lvlJc w:val="left"/>
      <w:pPr>
        <w:ind w:left="442" w:hanging="228"/>
      </w:pPr>
      <w:rPr>
        <w:rFonts w:ascii="Symbol" w:hAnsi="Symbol" w:hint="default"/>
        <w:w w:val="100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4DFD334F"/>
    <w:multiLevelType w:val="hybridMultilevel"/>
    <w:tmpl w:val="162A9228"/>
    <w:lvl w:ilvl="0" w:tplc="6C323A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C14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3049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1603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C015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D2AC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E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3EB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AE58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9C0AE9"/>
    <w:multiLevelType w:val="hybridMultilevel"/>
    <w:tmpl w:val="72407B06"/>
    <w:lvl w:ilvl="0" w:tplc="3A788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616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420A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1E50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853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4EFF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EE90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855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675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028538A"/>
    <w:multiLevelType w:val="hybridMultilevel"/>
    <w:tmpl w:val="5CA0C4A4"/>
    <w:lvl w:ilvl="0" w:tplc="5AB670EC">
      <w:numFmt w:val="bullet"/>
      <w:lvlText w:val=""/>
      <w:lvlJc w:val="left"/>
      <w:pPr>
        <w:ind w:left="442" w:hanging="228"/>
      </w:pPr>
      <w:rPr>
        <w:rFonts w:hint="default"/>
        <w:w w:val="100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7F6811"/>
    <w:multiLevelType w:val="hybridMultilevel"/>
    <w:tmpl w:val="301CEF8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75504E45"/>
    <w:multiLevelType w:val="hybridMultilevel"/>
    <w:tmpl w:val="D5662076"/>
    <w:lvl w:ilvl="0" w:tplc="1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F28744E"/>
    <w:multiLevelType w:val="hybridMultilevel"/>
    <w:tmpl w:val="48DEFB38"/>
    <w:lvl w:ilvl="0" w:tplc="5AB670EC">
      <w:numFmt w:val="bullet"/>
      <w:lvlText w:val=""/>
      <w:lvlJc w:val="left"/>
      <w:pPr>
        <w:ind w:left="442" w:hanging="228"/>
      </w:pPr>
      <w:rPr>
        <w:rFonts w:hint="default"/>
        <w:w w:val="100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20"/>
    <w:rsid w:val="00003014"/>
    <w:rsid w:val="00025B41"/>
    <w:rsid w:val="00026A6B"/>
    <w:rsid w:val="0005743C"/>
    <w:rsid w:val="00064AC2"/>
    <w:rsid w:val="0007420B"/>
    <w:rsid w:val="00097D42"/>
    <w:rsid w:val="000B7FEE"/>
    <w:rsid w:val="000E6292"/>
    <w:rsid w:val="000F3B02"/>
    <w:rsid w:val="000F6443"/>
    <w:rsid w:val="001246A4"/>
    <w:rsid w:val="00170E59"/>
    <w:rsid w:val="00174B8B"/>
    <w:rsid w:val="00184DF5"/>
    <w:rsid w:val="0020011D"/>
    <w:rsid w:val="0023506D"/>
    <w:rsid w:val="002C22CF"/>
    <w:rsid w:val="002E7DC8"/>
    <w:rsid w:val="00380C59"/>
    <w:rsid w:val="003E22AB"/>
    <w:rsid w:val="003F417C"/>
    <w:rsid w:val="00410B4E"/>
    <w:rsid w:val="00453D89"/>
    <w:rsid w:val="00497122"/>
    <w:rsid w:val="004C7B4C"/>
    <w:rsid w:val="004D611B"/>
    <w:rsid w:val="004F5220"/>
    <w:rsid w:val="005253EC"/>
    <w:rsid w:val="00540262"/>
    <w:rsid w:val="00544FF4"/>
    <w:rsid w:val="006513FF"/>
    <w:rsid w:val="006829EE"/>
    <w:rsid w:val="006B59DA"/>
    <w:rsid w:val="00730CAA"/>
    <w:rsid w:val="00791B65"/>
    <w:rsid w:val="007B2312"/>
    <w:rsid w:val="008261A1"/>
    <w:rsid w:val="00863393"/>
    <w:rsid w:val="00866667"/>
    <w:rsid w:val="00885A41"/>
    <w:rsid w:val="008B63B6"/>
    <w:rsid w:val="008F107F"/>
    <w:rsid w:val="0092295E"/>
    <w:rsid w:val="00965288"/>
    <w:rsid w:val="009B0941"/>
    <w:rsid w:val="00A3233F"/>
    <w:rsid w:val="00A33313"/>
    <w:rsid w:val="00A737F5"/>
    <w:rsid w:val="00AA628E"/>
    <w:rsid w:val="00AD6852"/>
    <w:rsid w:val="00B045F5"/>
    <w:rsid w:val="00B37070"/>
    <w:rsid w:val="00B8078F"/>
    <w:rsid w:val="00BE19FF"/>
    <w:rsid w:val="00C231BE"/>
    <w:rsid w:val="00C41EAA"/>
    <w:rsid w:val="00C655B3"/>
    <w:rsid w:val="00CD0A0F"/>
    <w:rsid w:val="00D02B3E"/>
    <w:rsid w:val="00D30C8F"/>
    <w:rsid w:val="00E81ABB"/>
    <w:rsid w:val="00EA16B5"/>
    <w:rsid w:val="00F05042"/>
    <w:rsid w:val="00F3459A"/>
    <w:rsid w:val="00FC67FF"/>
    <w:rsid w:val="00FD1161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CE5"/>
  <w15:docId w15:val="{F357E5C0-47B3-4CBD-9C10-5F9B02C6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2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4F522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4F52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3">
    <w:name w:val="List Paragraph"/>
    <w:basedOn w:val="a"/>
    <w:uiPriority w:val="34"/>
    <w:qFormat/>
    <w:rsid w:val="000F644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44F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174B8B"/>
    <w:rPr>
      <w:color w:val="0000FF"/>
      <w:u w:val="single"/>
    </w:rPr>
  </w:style>
  <w:style w:type="paragraph" w:customStyle="1" w:styleId="a5">
    <w:name w:val="По умолчанию"/>
    <w:rsid w:val="00730CA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ransport/sites/default/files/themes/strategies/doc/2011_white_paper/white-paper-illustrated-brochure_en.pdf" TargetMode="External"/><Relationship Id="rId13" Type="http://schemas.openxmlformats.org/officeDocument/2006/relationships/hyperlink" Target="https://eur-lex.europa.eu/legal-content/EN/TXT/?uri=CELEX%3A32016L1148" TargetMode="External"/><Relationship Id="rId18" Type="http://schemas.openxmlformats.org/officeDocument/2006/relationships/hyperlink" Target="https://publications.jrc.ec.europa.eu/repository/handle/JRC1233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N/TXT/PDF/?uri=CELEX:52014DC0330&amp;from=EN" TargetMode="External"/><Relationship Id="rId7" Type="http://schemas.openxmlformats.org/officeDocument/2006/relationships/hyperlink" Target="https://warn-erasmus.eu/ua/glossary/" TargetMode="External"/><Relationship Id="rId12" Type="http://schemas.openxmlformats.org/officeDocument/2006/relationships/hyperlink" Target="https://www.consilium.europa.eu/en/press/press-releases/2018/06/26/maritime-security-eu-revises-its-action-plan/" TargetMode="External"/><Relationship Id="rId17" Type="http://schemas.openxmlformats.org/officeDocument/2006/relationships/hyperlink" Target="https://view.24mags.com/mobilev/bbc43250c51aa3c0b599cb18066f3c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.europa.eu/transparency/regdoc/rep/10102/2020/EN/SWD-2020-153-F1-EN-MAIN-PART-1.PDF" TargetMode="External"/><Relationship Id="rId20" Type="http://schemas.openxmlformats.org/officeDocument/2006/relationships/hyperlink" Target="https://ec.europa.eu/energy/topics/energy-security_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ybridcoe.fi/" TargetMode="External"/><Relationship Id="rId11" Type="http://schemas.openxmlformats.org/officeDocument/2006/relationships/hyperlink" Target="https://eur-lex.europa.eu/eli/reg_impl/2019/947/oj" TargetMode="External"/><Relationship Id="rId5" Type="http://schemas.openxmlformats.org/officeDocument/2006/relationships/hyperlink" Target="https://nure.ua/wp-content/uploads/Main_Docs_NURE/polozhennja-pro-organizaciju-osvitnogo-procesu-v-hnure.pdf" TargetMode="External"/><Relationship Id="rId15" Type="http://schemas.openxmlformats.org/officeDocument/2006/relationships/hyperlink" Target="file:///C:/Users/user/Downloads/EU_Security_Union_Strategy__connecting_the_dots_in_a_new_security_ecosystem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c.europa.eu/transport/themes/security/land_security/road-security-toolkit_en" TargetMode="External"/><Relationship Id="rId19" Type="http://schemas.openxmlformats.org/officeDocument/2006/relationships/hyperlink" Target="https://oxford.universitypressscholarship.com/view/10.1093/oso/9780198802242.001.0001/oso-9780198802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transport/modes/rail/news/2018-06-12-action-plan-security-rail-passengers_en" TargetMode="External"/><Relationship Id="rId14" Type="http://schemas.openxmlformats.org/officeDocument/2006/relationships/hyperlink" Target="https://www.hybridcoe.fi/wp-content/uploads/2018/05/Treverton-AddressingHybridThreats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</dc:creator>
  <cp:lastModifiedBy>User</cp:lastModifiedBy>
  <cp:revision>6</cp:revision>
  <dcterms:created xsi:type="dcterms:W3CDTF">2022-02-17T17:02:00Z</dcterms:created>
  <dcterms:modified xsi:type="dcterms:W3CDTF">2022-02-17T17:06:00Z</dcterms:modified>
</cp:coreProperties>
</file>