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20" w:rsidRPr="00146E0C" w:rsidRDefault="004F5220" w:rsidP="004F5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E0C">
        <w:rPr>
          <w:rFonts w:ascii="Times New Roman" w:hAnsi="Times New Roman" w:cs="Times New Roman"/>
          <w:sz w:val="24"/>
          <w:szCs w:val="24"/>
          <w:lang w:val="uk-UA"/>
        </w:rPr>
        <w:t>Силабус</w:t>
      </w:r>
      <w:proofErr w:type="spellEnd"/>
      <w:r w:rsidRPr="00146E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6E0C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назва дисципліни</w:t>
      </w:r>
      <w:r w:rsidR="00AA628E" w:rsidRPr="00146E0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«</w:t>
      </w:r>
      <w:r w:rsidR="00B67D58" w:rsidRPr="00146E0C">
        <w:rPr>
          <w:rFonts w:ascii="Times New Roman" w:hAnsi="Times New Roman" w:cs="Times New Roman"/>
          <w:sz w:val="24"/>
          <w:szCs w:val="24"/>
          <w:lang w:val="uk-UA"/>
        </w:rPr>
        <w:t>Гібридні загрози та комплексна безпека</w:t>
      </w:r>
      <w:r w:rsidR="00AA628E" w:rsidRPr="00146E0C">
        <w:rPr>
          <w:rFonts w:ascii="Times New Roman" w:hAnsi="Times New Roman" w:cs="Times New Roman"/>
          <w:i/>
          <w:iCs/>
          <w:sz w:val="24"/>
          <w:szCs w:val="24"/>
          <w:lang w:val="uk-UA"/>
        </w:rPr>
        <w:t>»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5"/>
        <w:gridCol w:w="2669"/>
        <w:gridCol w:w="6663"/>
      </w:tblGrid>
      <w:tr w:rsidR="00146E0C" w:rsidRPr="00146E0C" w:rsidTr="00CE2EEC">
        <w:tc>
          <w:tcPr>
            <w:tcW w:w="445" w:type="dxa"/>
          </w:tcPr>
          <w:p w:rsidR="004F5220" w:rsidRPr="00146E0C" w:rsidRDefault="004F5220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669" w:type="dxa"/>
          </w:tcPr>
          <w:p w:rsidR="004F5220" w:rsidRPr="00146E0C" w:rsidRDefault="004F5220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поля</w:t>
            </w:r>
          </w:p>
        </w:tc>
        <w:tc>
          <w:tcPr>
            <w:tcW w:w="6663" w:type="dxa"/>
          </w:tcPr>
          <w:p w:rsidR="004F5220" w:rsidRPr="00146E0C" w:rsidRDefault="004F5220" w:rsidP="00A62086">
            <w:pPr>
              <w:spacing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Контент, коментарі</w:t>
            </w:r>
          </w:p>
        </w:tc>
      </w:tr>
      <w:tr w:rsidR="00146E0C" w:rsidRPr="00146E0C" w:rsidTr="00CE2EEC">
        <w:tc>
          <w:tcPr>
            <w:tcW w:w="445" w:type="dxa"/>
          </w:tcPr>
          <w:p w:rsidR="004F5220" w:rsidRPr="00146E0C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146E0C" w:rsidRDefault="004F5220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663" w:type="dxa"/>
          </w:tcPr>
          <w:p w:rsidR="004F5220" w:rsidRPr="00146E0C" w:rsidRDefault="004F5220" w:rsidP="00A62086">
            <w:pPr>
              <w:spacing w:after="0" w:line="240" w:lineRule="auto"/>
              <w:ind w:left="5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Другий (магістерський)</w:t>
            </w:r>
          </w:p>
        </w:tc>
      </w:tr>
      <w:tr w:rsidR="00146E0C" w:rsidRPr="00146E0C" w:rsidTr="00CE2EEC">
        <w:tc>
          <w:tcPr>
            <w:tcW w:w="445" w:type="dxa"/>
          </w:tcPr>
          <w:p w:rsidR="008B63B6" w:rsidRPr="00146E0C" w:rsidRDefault="008B63B6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8B63B6" w:rsidRPr="00146E0C" w:rsidRDefault="008B63B6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6663" w:type="dxa"/>
          </w:tcPr>
          <w:p w:rsidR="008B63B6" w:rsidRPr="00146E0C" w:rsidRDefault="008B63B6" w:rsidP="00D34145">
            <w:pPr>
              <w:spacing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073 Менеджмент</w:t>
            </w:r>
          </w:p>
        </w:tc>
      </w:tr>
      <w:tr w:rsidR="00146E0C" w:rsidRPr="00146E0C" w:rsidTr="00CE2EEC">
        <w:tc>
          <w:tcPr>
            <w:tcW w:w="445" w:type="dxa"/>
          </w:tcPr>
          <w:p w:rsidR="008B63B6" w:rsidRPr="00146E0C" w:rsidRDefault="008B63B6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8B63B6" w:rsidRPr="00146E0C" w:rsidRDefault="008B63B6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і назва освітньої програми</w:t>
            </w:r>
          </w:p>
        </w:tc>
        <w:tc>
          <w:tcPr>
            <w:tcW w:w="6663" w:type="dxa"/>
          </w:tcPr>
          <w:p w:rsidR="008B63B6" w:rsidRPr="00146E0C" w:rsidRDefault="008B63B6" w:rsidP="008B63B6">
            <w:pPr>
              <w:spacing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Освітньо-професійна програма Менеджмент організацій і адміністрування </w:t>
            </w:r>
          </w:p>
        </w:tc>
      </w:tr>
      <w:tr w:rsidR="00146E0C" w:rsidRPr="00146E0C" w:rsidTr="00CE2EEC">
        <w:tc>
          <w:tcPr>
            <w:tcW w:w="445" w:type="dxa"/>
          </w:tcPr>
          <w:p w:rsidR="004F5220" w:rsidRPr="00146E0C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146E0C" w:rsidRDefault="004F5220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Статус дисципліни </w:t>
            </w:r>
          </w:p>
        </w:tc>
        <w:tc>
          <w:tcPr>
            <w:tcW w:w="6663" w:type="dxa"/>
          </w:tcPr>
          <w:p w:rsidR="004F5220" w:rsidRPr="00146E0C" w:rsidRDefault="004F5220" w:rsidP="007B23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Основна </w:t>
            </w:r>
          </w:p>
        </w:tc>
      </w:tr>
      <w:tr w:rsidR="00146E0C" w:rsidRPr="00146E0C" w:rsidTr="00CE2EEC">
        <w:tc>
          <w:tcPr>
            <w:tcW w:w="445" w:type="dxa"/>
          </w:tcPr>
          <w:p w:rsidR="004F5220" w:rsidRPr="00146E0C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146E0C" w:rsidRDefault="004F5220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663" w:type="dxa"/>
          </w:tcPr>
          <w:p w:rsidR="004F5220" w:rsidRPr="00146E0C" w:rsidRDefault="004F5220" w:rsidP="008B63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Українська</w:t>
            </w:r>
          </w:p>
        </w:tc>
      </w:tr>
      <w:tr w:rsidR="00146E0C" w:rsidRPr="00146E0C" w:rsidTr="00CE2EEC">
        <w:tc>
          <w:tcPr>
            <w:tcW w:w="445" w:type="dxa"/>
          </w:tcPr>
          <w:p w:rsidR="004F5220" w:rsidRPr="00146E0C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146E0C" w:rsidRDefault="004F5220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ЄКТС кредитів</w:t>
            </w:r>
          </w:p>
        </w:tc>
        <w:tc>
          <w:tcPr>
            <w:tcW w:w="6663" w:type="dxa"/>
          </w:tcPr>
          <w:p w:rsidR="004F5220" w:rsidRPr="00146E0C" w:rsidRDefault="00374DCF" w:rsidP="00A620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146E0C" w:rsidRPr="00146E0C" w:rsidTr="00CE2EEC">
        <w:tc>
          <w:tcPr>
            <w:tcW w:w="445" w:type="dxa"/>
          </w:tcPr>
          <w:p w:rsidR="004F5220" w:rsidRPr="00146E0C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146E0C" w:rsidRDefault="004F5220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 дисципліни (розподіл за видами та годинами навчання)</w:t>
            </w:r>
          </w:p>
        </w:tc>
        <w:tc>
          <w:tcPr>
            <w:tcW w:w="6663" w:type="dxa"/>
          </w:tcPr>
          <w:p w:rsidR="004F5220" w:rsidRPr="00146E0C" w:rsidRDefault="004F5220" w:rsidP="00A620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Лекції – </w:t>
            </w:r>
            <w:r w:rsidR="00164E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</w:t>
            </w:r>
            <w:r w:rsidRPr="00146E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год.</w:t>
            </w:r>
          </w:p>
          <w:p w:rsidR="004F5220" w:rsidRPr="00146E0C" w:rsidRDefault="00FD1161" w:rsidP="00A620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Практичні</w:t>
            </w:r>
            <w:r w:rsidR="004F5220" w:rsidRPr="00146E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– 2</w:t>
            </w:r>
            <w:r w:rsidR="00CE2E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</w:t>
            </w:r>
            <w:r w:rsidR="004F5220" w:rsidRPr="00146E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год.</w:t>
            </w:r>
          </w:p>
          <w:p w:rsidR="004F5220" w:rsidRPr="00146E0C" w:rsidRDefault="004F5220" w:rsidP="00CE2EE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Самостійна робота – </w:t>
            </w:r>
            <w:r w:rsidR="00374D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7</w:t>
            </w:r>
            <w:r w:rsidR="00CE2E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  <w:bookmarkStart w:id="0" w:name="_GoBack"/>
            <w:bookmarkEnd w:id="0"/>
            <w:r w:rsidRPr="00146E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год</w:t>
            </w:r>
          </w:p>
        </w:tc>
      </w:tr>
      <w:tr w:rsidR="00146E0C" w:rsidRPr="00146E0C" w:rsidTr="00CE2EEC">
        <w:tc>
          <w:tcPr>
            <w:tcW w:w="445" w:type="dxa"/>
          </w:tcPr>
          <w:p w:rsidR="004F5220" w:rsidRPr="00146E0C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146E0C" w:rsidRDefault="004F5220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підсумкового контролю</w:t>
            </w:r>
          </w:p>
        </w:tc>
        <w:tc>
          <w:tcPr>
            <w:tcW w:w="6663" w:type="dxa"/>
          </w:tcPr>
          <w:p w:rsidR="004F5220" w:rsidRPr="00146E0C" w:rsidRDefault="00544FF4" w:rsidP="004F522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146E0C" w:rsidRPr="00146E0C" w:rsidTr="00CE2EEC">
        <w:tc>
          <w:tcPr>
            <w:tcW w:w="445" w:type="dxa"/>
          </w:tcPr>
          <w:p w:rsidR="004F5220" w:rsidRPr="00146E0C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146E0C" w:rsidRDefault="004F5220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Графік (терміни) вивчення дисципліни </w:t>
            </w:r>
          </w:p>
        </w:tc>
        <w:tc>
          <w:tcPr>
            <w:tcW w:w="6663" w:type="dxa"/>
          </w:tcPr>
          <w:p w:rsidR="004F5220" w:rsidRPr="00146E0C" w:rsidRDefault="004F5220" w:rsidP="004F5220">
            <w:pPr>
              <w:spacing w:after="0" w:line="240" w:lineRule="auto"/>
              <w:ind w:left="5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 рік (1 курс), 1семестр</w:t>
            </w:r>
          </w:p>
        </w:tc>
      </w:tr>
      <w:tr w:rsidR="00146E0C" w:rsidRPr="00E07D76" w:rsidTr="00CE2EEC">
        <w:tc>
          <w:tcPr>
            <w:tcW w:w="445" w:type="dxa"/>
          </w:tcPr>
          <w:p w:rsidR="004F5220" w:rsidRPr="00146E0C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146E0C" w:rsidRDefault="004F5220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Цілі навчання за дисципліною</w:t>
            </w:r>
          </w:p>
        </w:tc>
        <w:tc>
          <w:tcPr>
            <w:tcW w:w="6663" w:type="dxa"/>
          </w:tcPr>
          <w:p w:rsidR="004F5220" w:rsidRPr="00146E0C" w:rsidRDefault="004F5220" w:rsidP="00026A6B">
            <w:pPr>
              <w:pStyle w:val="TableParagraph"/>
              <w:ind w:left="107" w:right="91"/>
              <w:jc w:val="both"/>
              <w:rPr>
                <w:i/>
                <w:iCs/>
                <w:sz w:val="24"/>
                <w:szCs w:val="24"/>
              </w:rPr>
            </w:pPr>
            <w:r w:rsidRPr="00146E0C">
              <w:rPr>
                <w:i/>
                <w:sz w:val="24"/>
                <w:szCs w:val="24"/>
              </w:rPr>
              <w:t>Метою викладання навчальної дисципліни «</w:t>
            </w:r>
            <w:r w:rsidR="002324D3" w:rsidRPr="00146E0C">
              <w:rPr>
                <w:i/>
                <w:sz w:val="24"/>
                <w:szCs w:val="24"/>
              </w:rPr>
              <w:t>Гібридні загрози та комплексна безпека</w:t>
            </w:r>
            <w:r w:rsidRPr="00146E0C">
              <w:rPr>
                <w:i/>
                <w:sz w:val="24"/>
                <w:szCs w:val="24"/>
              </w:rPr>
              <w:t>» є формування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системи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знань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та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вмінь,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необхідних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для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виконання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організаційних,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аналітичних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та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консультаційних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функцій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щодо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ідентифікації та протидії </w:t>
            </w:r>
            <w:r w:rsidRPr="00146E0C">
              <w:rPr>
                <w:i/>
                <w:sz w:val="24"/>
                <w:szCs w:val="24"/>
              </w:rPr>
              <w:t>гібридним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загрозам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і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забезпечення </w:t>
            </w:r>
            <w:r w:rsidRPr="00146E0C">
              <w:rPr>
                <w:i/>
                <w:sz w:val="24"/>
                <w:szCs w:val="24"/>
              </w:rPr>
              <w:t>комплексної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безпеки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на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національному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="00026A6B" w:rsidRPr="00146E0C">
              <w:rPr>
                <w:i/>
                <w:sz w:val="24"/>
                <w:szCs w:val="24"/>
              </w:rPr>
              <w:t>й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міжнародному</w:t>
            </w:r>
            <w:r w:rsidRPr="00146E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6E0C">
              <w:rPr>
                <w:i/>
                <w:sz w:val="24"/>
                <w:szCs w:val="24"/>
              </w:rPr>
              <w:t>рівні.</w:t>
            </w:r>
          </w:p>
        </w:tc>
      </w:tr>
      <w:tr w:rsidR="00146E0C" w:rsidRPr="00453EC3" w:rsidTr="00CE2EEC">
        <w:tc>
          <w:tcPr>
            <w:tcW w:w="445" w:type="dxa"/>
          </w:tcPr>
          <w:p w:rsidR="002324D3" w:rsidRPr="00146E0C" w:rsidRDefault="002324D3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2324D3" w:rsidRPr="00146E0C" w:rsidRDefault="002324D3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6663" w:type="dxa"/>
          </w:tcPr>
          <w:p w:rsidR="002324D3" w:rsidRPr="00146E0C" w:rsidRDefault="002324D3" w:rsidP="00BD6717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PMingLiU" w:hAnsi="Times New Roman" w:cs="Times New Roman"/>
                <w:spacing w:val="4"/>
                <w:sz w:val="24"/>
                <w:szCs w:val="24"/>
                <w:lang w:val="uk-UA"/>
              </w:rPr>
            </w:pPr>
            <w:r w:rsidRPr="00146E0C">
              <w:rPr>
                <w:rFonts w:ascii="Times New Roman" w:eastAsia="PMingLiU" w:hAnsi="Times New Roman" w:cs="Times New Roman"/>
                <w:spacing w:val="4"/>
                <w:sz w:val="24"/>
                <w:szCs w:val="24"/>
                <w:lang w:val="uk-UA"/>
              </w:rPr>
              <w:t>РН1. Критично осмислювати, вибирати та використовувати необхідний науковий, методичний і аналітичний інструментарій для управління в непередбачуваних умовах;</w:t>
            </w:r>
          </w:p>
          <w:p w:rsidR="002324D3" w:rsidRPr="00146E0C" w:rsidRDefault="002324D3" w:rsidP="00BD6717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PMingLiU" w:hAnsi="Times New Roman" w:cs="Times New Roman"/>
                <w:spacing w:val="4"/>
                <w:sz w:val="24"/>
                <w:szCs w:val="24"/>
                <w:lang w:val="uk-UA"/>
              </w:rPr>
            </w:pPr>
            <w:r w:rsidRPr="00146E0C">
              <w:rPr>
                <w:rFonts w:ascii="Times New Roman" w:eastAsia="PMingLiU" w:hAnsi="Times New Roman" w:cs="Times New Roman"/>
                <w:spacing w:val="4"/>
                <w:sz w:val="24"/>
                <w:szCs w:val="24"/>
                <w:lang w:val="uk-UA"/>
              </w:rPr>
              <w:t>РН 6. Мати навички прийняття, обґрунтування та забезпечення реалізації управлінських рішень в непередбачуваних умовах, враховуючи вимоги чинного законодавства, етичні міркування та соціальну відповідальність;</w:t>
            </w:r>
          </w:p>
          <w:p w:rsidR="00366586" w:rsidRPr="00FC1F43" w:rsidRDefault="00366586" w:rsidP="00366586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PMingLiU" w:hAnsi="Times New Roman"/>
                <w:color w:val="FF0000"/>
                <w:spacing w:val="4"/>
                <w:sz w:val="24"/>
                <w:szCs w:val="24"/>
              </w:rPr>
            </w:pPr>
            <w:r w:rsidRPr="00FC1F43">
              <w:rPr>
                <w:rFonts w:ascii="Times New Roman" w:eastAsia="PMingLiU" w:hAnsi="Times New Roman"/>
                <w:color w:val="FF0000"/>
                <w:spacing w:val="4"/>
                <w:sz w:val="24"/>
                <w:szCs w:val="24"/>
              </w:rPr>
              <w:t xml:space="preserve">РН 15.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Розуміти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комплексну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природу,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складність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логіку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і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закономірності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гібридних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загроз</w:t>
            </w:r>
            <w:proofErr w:type="spellEnd"/>
            <w:r w:rsidRPr="00FC1F43">
              <w:rPr>
                <w:rFonts w:ascii="Times New Roman" w:eastAsia="PMingLiU" w:hAnsi="Times New Roman"/>
                <w:color w:val="FF0000"/>
                <w:spacing w:val="4"/>
                <w:sz w:val="24"/>
                <w:szCs w:val="24"/>
              </w:rPr>
              <w:t>;</w:t>
            </w:r>
          </w:p>
          <w:p w:rsidR="002324D3" w:rsidRPr="00146E0C" w:rsidRDefault="00366586" w:rsidP="0036658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РН 16. 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Виявляти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ідентифікувати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класифікувати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гібридні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загрози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та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ефективно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на них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реагувати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міжгалузевій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взаємодії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146E0C" w:rsidRPr="00146E0C" w:rsidTr="00CE2EEC">
        <w:tc>
          <w:tcPr>
            <w:tcW w:w="445" w:type="dxa"/>
          </w:tcPr>
          <w:p w:rsidR="002324D3" w:rsidRPr="00146E0C" w:rsidRDefault="002324D3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2324D3" w:rsidRPr="00146E0C" w:rsidRDefault="002324D3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Анотація (зміст) дисципліни</w:t>
            </w:r>
          </w:p>
        </w:tc>
        <w:tc>
          <w:tcPr>
            <w:tcW w:w="6663" w:type="dxa"/>
          </w:tcPr>
          <w:p w:rsidR="002324D3" w:rsidRDefault="00366586" w:rsidP="00366586">
            <w:pPr>
              <w:widowControl w:val="0"/>
              <w:autoSpaceDE w:val="0"/>
              <w:autoSpaceDN w:val="0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6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1. Асиметрія, гібридні загрози (</w:t>
            </w:r>
            <w:proofErr w:type="spellStart"/>
            <w:r w:rsidRPr="00366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HTs</w:t>
            </w:r>
            <w:proofErr w:type="spellEnd"/>
            <w:r w:rsidRPr="00366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та безпека</w:t>
            </w:r>
          </w:p>
          <w:p w:rsidR="00366586" w:rsidRDefault="00366586" w:rsidP="00366586">
            <w:pPr>
              <w:widowControl w:val="0"/>
              <w:autoSpaceDE w:val="0"/>
              <w:autoSpaceDN w:val="0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6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2. Концептуальна модель гібридних загроз</w:t>
            </w:r>
            <w:r w:rsidRPr="00366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cr/>
              <w:t>Модуль 3. Домени (сфери) гібридних загроз</w:t>
            </w:r>
            <w:r w:rsidRPr="00366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cr/>
              <w:t>Модуль 4. Інструменти гібридних загроз</w:t>
            </w:r>
            <w:r w:rsidRPr="00366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cr/>
              <w:t>Модуль 5. Динаміка гібридних загроз</w:t>
            </w:r>
            <w:r w:rsidRPr="00366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cr/>
            </w:r>
          </w:p>
          <w:p w:rsidR="00366586" w:rsidRPr="00146E0C" w:rsidRDefault="00366586" w:rsidP="0036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6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6. Основи захисту</w:t>
            </w:r>
          </w:p>
        </w:tc>
      </w:tr>
      <w:tr w:rsidR="00146E0C" w:rsidRPr="00146E0C" w:rsidTr="00CE2EEC">
        <w:trPr>
          <w:trHeight w:val="2947"/>
        </w:trPr>
        <w:tc>
          <w:tcPr>
            <w:tcW w:w="445" w:type="dxa"/>
          </w:tcPr>
          <w:p w:rsidR="002324D3" w:rsidRPr="00146E0C" w:rsidRDefault="002324D3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2324D3" w:rsidRPr="00146E0C" w:rsidRDefault="002324D3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оцінювання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tbl>
            <w:tblPr>
              <w:tblStyle w:val="TableNormal"/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88"/>
              <w:gridCol w:w="1575"/>
            </w:tblGrid>
            <w:tr w:rsidR="00146E0C" w:rsidRPr="00146E0C" w:rsidTr="001246A4">
              <w:trPr>
                <w:trHeight w:val="551"/>
              </w:trPr>
              <w:tc>
                <w:tcPr>
                  <w:tcW w:w="4188" w:type="dxa"/>
                </w:tcPr>
                <w:p w:rsidR="002324D3" w:rsidRPr="00146E0C" w:rsidRDefault="002324D3" w:rsidP="00366586">
                  <w:pPr>
                    <w:pStyle w:val="TableParagraph"/>
                    <w:spacing w:before="131"/>
                    <w:ind w:left="24" w:right="1634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146E0C">
                    <w:rPr>
                      <w:i/>
                      <w:sz w:val="24"/>
                      <w:szCs w:val="24"/>
                    </w:rPr>
                    <w:t>Вид</w:t>
                  </w:r>
                  <w:r w:rsidRPr="00146E0C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146E0C">
                    <w:rPr>
                      <w:i/>
                      <w:sz w:val="24"/>
                      <w:szCs w:val="24"/>
                    </w:rPr>
                    <w:t>заняття</w:t>
                  </w:r>
                </w:p>
              </w:tc>
              <w:tc>
                <w:tcPr>
                  <w:tcW w:w="1575" w:type="dxa"/>
                </w:tcPr>
                <w:p w:rsidR="002324D3" w:rsidRPr="00146E0C" w:rsidRDefault="002324D3" w:rsidP="00366586">
                  <w:pPr>
                    <w:pStyle w:val="TableParagraph"/>
                    <w:spacing w:line="268" w:lineRule="exact"/>
                    <w:ind w:left="24"/>
                    <w:rPr>
                      <w:i/>
                      <w:sz w:val="24"/>
                      <w:szCs w:val="24"/>
                    </w:rPr>
                  </w:pPr>
                  <w:r w:rsidRPr="00146E0C">
                    <w:rPr>
                      <w:i/>
                      <w:sz w:val="24"/>
                      <w:szCs w:val="24"/>
                    </w:rPr>
                    <w:t>1</w:t>
                  </w:r>
                  <w:r w:rsidRPr="00146E0C">
                    <w:rPr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146E0C">
                    <w:rPr>
                      <w:i/>
                      <w:sz w:val="24"/>
                      <w:szCs w:val="24"/>
                    </w:rPr>
                    <w:t>зміст.</w:t>
                  </w:r>
                  <w:r w:rsidRPr="00146E0C">
                    <w:rPr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146E0C">
                    <w:rPr>
                      <w:i/>
                      <w:sz w:val="24"/>
                      <w:szCs w:val="24"/>
                    </w:rPr>
                    <w:t>модуль</w:t>
                  </w:r>
                </w:p>
                <w:p w:rsidR="002324D3" w:rsidRPr="00146E0C" w:rsidRDefault="002324D3" w:rsidP="00366586">
                  <w:pPr>
                    <w:pStyle w:val="TableParagraph"/>
                    <w:spacing w:line="264" w:lineRule="exact"/>
                    <w:ind w:left="24"/>
                    <w:rPr>
                      <w:i/>
                      <w:sz w:val="24"/>
                      <w:szCs w:val="24"/>
                    </w:rPr>
                  </w:pPr>
                  <w:r w:rsidRPr="00146E0C">
                    <w:rPr>
                      <w:i/>
                      <w:sz w:val="24"/>
                      <w:szCs w:val="24"/>
                    </w:rPr>
                    <w:t>(максимум</w:t>
                  </w:r>
                  <w:r w:rsidRPr="00146E0C">
                    <w:rPr>
                      <w:i/>
                      <w:spacing w:val="-4"/>
                      <w:sz w:val="24"/>
                      <w:szCs w:val="24"/>
                    </w:rPr>
                    <w:t xml:space="preserve"> </w:t>
                  </w:r>
                  <w:r w:rsidRPr="00146E0C">
                    <w:rPr>
                      <w:i/>
                      <w:sz w:val="24"/>
                      <w:szCs w:val="24"/>
                    </w:rPr>
                    <w:t>балів)</w:t>
                  </w:r>
                </w:p>
              </w:tc>
            </w:tr>
            <w:tr w:rsidR="00146E0C" w:rsidRPr="00146E0C" w:rsidTr="001246A4">
              <w:trPr>
                <w:trHeight w:val="275"/>
              </w:trPr>
              <w:tc>
                <w:tcPr>
                  <w:tcW w:w="4188" w:type="dxa"/>
                </w:tcPr>
                <w:p w:rsidR="002324D3" w:rsidRPr="00146E0C" w:rsidRDefault="002324D3" w:rsidP="00366586">
                  <w:pPr>
                    <w:pStyle w:val="TableParagraph"/>
                    <w:spacing w:line="256" w:lineRule="exact"/>
                    <w:ind w:left="24"/>
                    <w:rPr>
                      <w:i/>
                      <w:sz w:val="24"/>
                      <w:szCs w:val="24"/>
                    </w:rPr>
                  </w:pPr>
                  <w:r w:rsidRPr="00146E0C">
                    <w:rPr>
                      <w:i/>
                      <w:sz w:val="24"/>
                      <w:szCs w:val="24"/>
                    </w:rPr>
                    <w:t>Поточний</w:t>
                  </w:r>
                  <w:r w:rsidRPr="00146E0C">
                    <w:rPr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146E0C">
                    <w:rPr>
                      <w:i/>
                      <w:sz w:val="24"/>
                      <w:szCs w:val="24"/>
                    </w:rPr>
                    <w:t>контроль</w:t>
                  </w:r>
                </w:p>
              </w:tc>
              <w:tc>
                <w:tcPr>
                  <w:tcW w:w="1575" w:type="dxa"/>
                </w:tcPr>
                <w:p w:rsidR="002324D3" w:rsidRPr="00146E0C" w:rsidRDefault="002324D3" w:rsidP="00366586">
                  <w:pPr>
                    <w:pStyle w:val="TableParagraph"/>
                    <w:ind w:left="24"/>
                    <w:jc w:val="center"/>
                    <w:rPr>
                      <w:i/>
                      <w:sz w:val="24"/>
                      <w:szCs w:val="24"/>
                    </w:rPr>
                  </w:pPr>
                  <w:proofErr w:type="spellStart"/>
                  <w:r w:rsidRPr="00146E0C">
                    <w:rPr>
                      <w:i/>
                      <w:sz w:val="24"/>
                      <w:szCs w:val="24"/>
                    </w:rPr>
                    <w:t>max</w:t>
                  </w:r>
                  <w:proofErr w:type="spellEnd"/>
                  <w:r w:rsidRPr="00146E0C">
                    <w:rPr>
                      <w:i/>
                      <w:sz w:val="24"/>
                      <w:szCs w:val="24"/>
                    </w:rPr>
                    <w:t xml:space="preserve"> 40</w:t>
                  </w:r>
                </w:p>
              </w:tc>
            </w:tr>
            <w:tr w:rsidR="00146E0C" w:rsidRPr="00146E0C" w:rsidTr="001246A4">
              <w:trPr>
                <w:trHeight w:val="340"/>
              </w:trPr>
              <w:tc>
                <w:tcPr>
                  <w:tcW w:w="4188" w:type="dxa"/>
                </w:tcPr>
                <w:p w:rsidR="002324D3" w:rsidRPr="00146E0C" w:rsidRDefault="002324D3" w:rsidP="00E07D76">
                  <w:pPr>
                    <w:pStyle w:val="TableParagraph"/>
                    <w:spacing w:before="25"/>
                    <w:ind w:left="24"/>
                    <w:rPr>
                      <w:i/>
                      <w:sz w:val="24"/>
                      <w:szCs w:val="24"/>
                    </w:rPr>
                  </w:pPr>
                  <w:r w:rsidRPr="00146E0C">
                    <w:rPr>
                      <w:i/>
                      <w:sz w:val="24"/>
                      <w:szCs w:val="24"/>
                    </w:rPr>
                    <w:t>Модульний</w:t>
                  </w:r>
                  <w:r w:rsidRPr="00146E0C">
                    <w:rPr>
                      <w:i/>
                      <w:spacing w:val="-4"/>
                      <w:sz w:val="24"/>
                      <w:szCs w:val="24"/>
                    </w:rPr>
                    <w:t xml:space="preserve"> </w:t>
                  </w:r>
                  <w:r w:rsidRPr="00146E0C">
                    <w:rPr>
                      <w:i/>
                      <w:sz w:val="24"/>
                      <w:szCs w:val="24"/>
                    </w:rPr>
                    <w:t>контроль</w:t>
                  </w:r>
                  <w:r w:rsidRPr="00146E0C">
                    <w:rPr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75" w:type="dxa"/>
                </w:tcPr>
                <w:p w:rsidR="002324D3" w:rsidRPr="00146E0C" w:rsidRDefault="002324D3" w:rsidP="00366586">
                  <w:pPr>
                    <w:pStyle w:val="TableParagraph"/>
                    <w:ind w:left="24"/>
                    <w:jc w:val="center"/>
                    <w:rPr>
                      <w:i/>
                      <w:sz w:val="24"/>
                      <w:szCs w:val="24"/>
                    </w:rPr>
                  </w:pPr>
                  <w:proofErr w:type="spellStart"/>
                  <w:r w:rsidRPr="00146E0C">
                    <w:rPr>
                      <w:i/>
                      <w:sz w:val="24"/>
                      <w:szCs w:val="24"/>
                    </w:rPr>
                    <w:t>max</w:t>
                  </w:r>
                  <w:proofErr w:type="spellEnd"/>
                  <w:r w:rsidRPr="00146E0C">
                    <w:rPr>
                      <w:i/>
                      <w:sz w:val="24"/>
                      <w:szCs w:val="24"/>
                    </w:rPr>
                    <w:t xml:space="preserve"> 20</w:t>
                  </w:r>
                </w:p>
              </w:tc>
            </w:tr>
            <w:tr w:rsidR="00146E0C" w:rsidRPr="00146E0C" w:rsidTr="001246A4">
              <w:trPr>
                <w:trHeight w:val="340"/>
              </w:trPr>
              <w:tc>
                <w:tcPr>
                  <w:tcW w:w="4188" w:type="dxa"/>
                </w:tcPr>
                <w:p w:rsidR="002324D3" w:rsidRPr="00146E0C" w:rsidRDefault="002324D3" w:rsidP="00366586">
                  <w:pPr>
                    <w:pStyle w:val="TableParagraph"/>
                    <w:spacing w:before="26"/>
                    <w:ind w:left="24"/>
                    <w:rPr>
                      <w:i/>
                      <w:sz w:val="24"/>
                      <w:szCs w:val="24"/>
                    </w:rPr>
                  </w:pPr>
                  <w:r w:rsidRPr="00146E0C">
                    <w:rPr>
                      <w:i/>
                      <w:sz w:val="24"/>
                      <w:szCs w:val="24"/>
                    </w:rPr>
                    <w:t>Екзамен</w:t>
                  </w:r>
                </w:p>
              </w:tc>
              <w:tc>
                <w:tcPr>
                  <w:tcW w:w="1575" w:type="dxa"/>
                </w:tcPr>
                <w:p w:rsidR="002324D3" w:rsidRPr="00146E0C" w:rsidRDefault="002324D3" w:rsidP="00366586">
                  <w:pPr>
                    <w:pStyle w:val="TableParagraph"/>
                    <w:ind w:left="24"/>
                    <w:jc w:val="center"/>
                    <w:rPr>
                      <w:i/>
                      <w:sz w:val="24"/>
                      <w:szCs w:val="24"/>
                    </w:rPr>
                  </w:pPr>
                  <w:proofErr w:type="spellStart"/>
                  <w:r w:rsidRPr="00146E0C">
                    <w:rPr>
                      <w:i/>
                      <w:sz w:val="24"/>
                      <w:szCs w:val="24"/>
                    </w:rPr>
                    <w:t>max</w:t>
                  </w:r>
                  <w:proofErr w:type="spellEnd"/>
                  <w:r w:rsidRPr="00146E0C">
                    <w:rPr>
                      <w:i/>
                      <w:sz w:val="24"/>
                      <w:szCs w:val="24"/>
                    </w:rPr>
                    <w:t xml:space="preserve"> 40 </w:t>
                  </w:r>
                </w:p>
              </w:tc>
            </w:tr>
          </w:tbl>
          <w:p w:rsidR="002324D3" w:rsidRPr="00146E0C" w:rsidRDefault="002324D3" w:rsidP="00366586">
            <w:pPr>
              <w:spacing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кількість балів – 100 (60 та більше – зараховано, 59 та менше – не зараховано)</w:t>
            </w:r>
          </w:p>
        </w:tc>
      </w:tr>
      <w:tr w:rsidR="00146E0C" w:rsidRPr="00146E0C" w:rsidTr="00CE2EEC">
        <w:tc>
          <w:tcPr>
            <w:tcW w:w="445" w:type="dxa"/>
          </w:tcPr>
          <w:p w:rsidR="002324D3" w:rsidRPr="00146E0C" w:rsidRDefault="002324D3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2324D3" w:rsidRPr="00146E0C" w:rsidRDefault="002324D3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Якість освітнього процесу </w:t>
            </w:r>
          </w:p>
        </w:tc>
        <w:tc>
          <w:tcPr>
            <w:tcW w:w="6663" w:type="dxa"/>
            <w:shd w:val="clear" w:color="auto" w:fill="auto"/>
          </w:tcPr>
          <w:p w:rsidR="002324D3" w:rsidRPr="00146E0C" w:rsidRDefault="002324D3" w:rsidP="00174B8B">
            <w:pPr>
              <w:spacing w:line="24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принципів академічної доброчесності здійснюється відповідно до Кодексу академічної доброчесності Державного університету інфраструктури та технологій, Положення про систему забезпечення академічної доброчесності у Державному університеті інфраструктури та технологій та принципам академічної доброчесності, викладеним в Положенні про </w:t>
            </w:r>
            <w:hyperlink r:id="rId5" w:history="1">
              <w:r w:rsidRPr="00146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організацію освітнього процесу </w:t>
              </w:r>
            </w:hyperlink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у Державному університеті інфраструктури та технологій, п.4.9.</w:t>
            </w:r>
          </w:p>
          <w:p w:rsidR="002324D3" w:rsidRPr="00146E0C" w:rsidRDefault="002324D3" w:rsidP="00174B8B">
            <w:pPr>
              <w:spacing w:line="24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Інструментом контрольних заходів є рейтингове оцінювання студентів. Кожний бал надається за конкретне досягнення, перелік яких оприлюднюється на початку курсу. Протягом семестру студенти "набирають" певну кількість балів за результати своєї роботи.</w:t>
            </w:r>
          </w:p>
          <w:p w:rsidR="002324D3" w:rsidRPr="00146E0C" w:rsidRDefault="002324D3" w:rsidP="008B63B6">
            <w:pPr>
              <w:spacing w:line="24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Всі практичні роботи мають груповий характер та виконуються на занятті. </w:t>
            </w:r>
          </w:p>
          <w:p w:rsidR="002324D3" w:rsidRPr="00146E0C" w:rsidRDefault="002324D3" w:rsidP="008B63B6">
            <w:pPr>
              <w:spacing w:line="24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завершенню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курса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проводиться анонімне опитування студентів для отримання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зворотнього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зв'язку щодо корисності запропонованого матеріалу та складності виконання роботи.</w:t>
            </w:r>
          </w:p>
        </w:tc>
      </w:tr>
      <w:tr w:rsidR="00146E0C" w:rsidRPr="00146E0C" w:rsidTr="00CE2EEC">
        <w:tc>
          <w:tcPr>
            <w:tcW w:w="445" w:type="dxa"/>
          </w:tcPr>
          <w:p w:rsidR="002324D3" w:rsidRPr="00146E0C" w:rsidRDefault="002324D3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2324D3" w:rsidRPr="00146E0C" w:rsidRDefault="002324D3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Сторінка курсу на платформі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:rsidR="002324D3" w:rsidRPr="00146E0C" w:rsidRDefault="002324D3" w:rsidP="00A62086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</w:t>
            </w:r>
          </w:p>
        </w:tc>
      </w:tr>
      <w:tr w:rsidR="00146E0C" w:rsidRPr="00E07D76" w:rsidTr="00CE2EEC">
        <w:tc>
          <w:tcPr>
            <w:tcW w:w="445" w:type="dxa"/>
          </w:tcPr>
          <w:p w:rsidR="002324D3" w:rsidRPr="00146E0C" w:rsidRDefault="002324D3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2324D3" w:rsidRPr="00146E0C" w:rsidRDefault="002324D3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663" w:type="dxa"/>
            <w:shd w:val="clear" w:color="auto" w:fill="auto"/>
          </w:tcPr>
          <w:p w:rsidR="002324D3" w:rsidRPr="00146E0C" w:rsidRDefault="00453EC3" w:rsidP="001246A4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Електронний</w:t>
            </w:r>
            <w:r w:rsidR="002324D3"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ресурс: Європейський центр з протидії гібридним загрозам </w:t>
            </w:r>
            <w:proofErr w:type="spellStart"/>
            <w:r w:rsidR="002324D3"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="002324D3"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24D3"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CoE</w:t>
            </w:r>
            <w:proofErr w:type="spellEnd"/>
            <w:r w:rsidR="002324D3"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6" w:history="1">
              <w:r w:rsidR="002324D3" w:rsidRPr="00146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https://www.hybridcoe.fi/</w:t>
              </w:r>
            </w:hyperlink>
          </w:p>
          <w:p w:rsidR="002324D3" w:rsidRPr="00146E0C" w:rsidRDefault="002324D3" w:rsidP="001246A4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Глосарій гібридних загроз </w:t>
            </w:r>
            <w:hyperlink r:id="rId7" w:history="1">
              <w:r w:rsidRPr="00146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https://warn-erasmus.eu/ua/glossary/</w:t>
              </w:r>
            </w:hyperlink>
          </w:p>
          <w:p w:rsidR="002324D3" w:rsidRPr="00146E0C" w:rsidRDefault="002324D3" w:rsidP="001246A4">
            <w:pPr>
              <w:spacing w:line="24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Treverton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G. F.,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Thvedt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A.,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Chen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A. R.,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Lee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K., &amp;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McCue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M. (2018).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Addressing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threats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-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Swedish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Defence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University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ISBN 978-91-86137-73-1. URL: </w:t>
            </w:r>
            <w:hyperlink r:id="rId8" w:history="1">
              <w:r w:rsidRPr="00146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https://www.hybridcoe.fi/wp-content/uploads/2018/05/Treverton-AddressingHybridThreats.pdf</w:t>
              </w:r>
            </w:hyperlink>
          </w:p>
          <w:p w:rsidR="002324D3" w:rsidRPr="00146E0C" w:rsidRDefault="002324D3" w:rsidP="001246A4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EU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Security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Union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Strategy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connecting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dots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new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security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ecosystem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ULR: </w:t>
            </w:r>
            <w:hyperlink r:id="rId9" w:history="1">
              <w:r w:rsidRPr="00146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file:///C:/Users/user/Downloads/EU_Security_Union_Strategy__connecting_the_dots_in_a_new_security_ecosystem.pdf</w:t>
              </w:r>
            </w:hyperlink>
          </w:p>
          <w:p w:rsidR="002324D3" w:rsidRPr="00146E0C" w:rsidRDefault="002324D3" w:rsidP="001246A4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JOINT STAFF WORKING DOCUMENT.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Report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implementation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2016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Joint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Framework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countering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threats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2018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Joint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Communication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increasing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resilience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bolstering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capabilities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address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threats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Brussels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24.7.2020.SWD(2020) 153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final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URL: </w:t>
            </w:r>
            <w:hyperlink r:id="rId10" w:history="1">
              <w:r w:rsidRPr="00146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https://ec.europa.eu/transparency/regdoc/rep/10102/2020/EN/SWD-2020-153-F1-EN-MAIN-PART-1.PDF</w:t>
              </w:r>
            </w:hyperlink>
          </w:p>
          <w:p w:rsidR="002324D3" w:rsidRPr="00146E0C" w:rsidRDefault="002324D3" w:rsidP="000B7FEE">
            <w:pPr>
              <w:spacing w:line="24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Business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community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threats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Report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Pasi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Eronen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Foundation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Defense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Democracies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Helsinki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2018. URL: </w:t>
            </w:r>
            <w:hyperlink r:id="rId11" w:anchor="/page=1" w:history="1">
              <w:r w:rsidRPr="00146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https://view.24mags.com/mobilev/bbc43250c51aa3c0b599cb18066f3c#/page=1</w:t>
              </w:r>
            </w:hyperlink>
          </w:p>
          <w:p w:rsidR="002324D3" w:rsidRPr="00146E0C" w:rsidRDefault="002324D3" w:rsidP="001246A4">
            <w:pPr>
              <w:spacing w:line="24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Giannopoulos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G.,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Smith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H.,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Theocharidou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M.,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Landscape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Threats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A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conceptual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model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EUR 30585 EN,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Publications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Office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European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Union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Luxembourg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2021, ISBN 978-92-76-29819-9, doi:10.2760/44985, JRC123305 URL: </w:t>
            </w:r>
            <w:hyperlink r:id="rId12" w:history="1">
              <w:r w:rsidRPr="00146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https://publications.jrc.ec.europa.eu/repository/handle/JRC123305</w:t>
              </w:r>
            </w:hyperlink>
          </w:p>
          <w:p w:rsidR="002324D3" w:rsidRPr="00146E0C" w:rsidRDefault="002324D3" w:rsidP="00540262">
            <w:pPr>
              <w:spacing w:line="24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Harjanne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A.,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Muilu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E.,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Pääkkönen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J.,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Smith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H.  (2018)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Helsinki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era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threats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influencing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city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Helsinki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Finland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CoE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hyperlink r:id="rId13" w:history="1">
              <w:r w:rsidRPr="00146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URL:https://www.hel.fi/static/kanslia/Julkaisut/2018/hybridiraportti_eng_020818_netti.pdf</w:t>
              </w:r>
            </w:hyperlink>
          </w:p>
        </w:tc>
      </w:tr>
      <w:tr w:rsidR="00146E0C" w:rsidRPr="00E07D76" w:rsidTr="00CE2EEC">
        <w:tc>
          <w:tcPr>
            <w:tcW w:w="445" w:type="dxa"/>
          </w:tcPr>
          <w:p w:rsidR="002324D3" w:rsidRPr="00146E0C" w:rsidRDefault="002324D3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2324D3" w:rsidRPr="00146E0C" w:rsidRDefault="002324D3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Матеріально-технічне, лабораторне, програмне забезпечення дисципліни</w:t>
            </w:r>
          </w:p>
        </w:tc>
        <w:tc>
          <w:tcPr>
            <w:tcW w:w="6663" w:type="dxa"/>
            <w:shd w:val="clear" w:color="auto" w:fill="auto"/>
          </w:tcPr>
          <w:p w:rsidR="002324D3" w:rsidRPr="00146E0C" w:rsidRDefault="002324D3" w:rsidP="00D34145">
            <w:pPr>
              <w:spacing w:line="24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Спеціалізована навчальна лабораторія є складовою факультету управління і технологій Державного університету інфраструктури та технологій, учасником  міжгалузевого середовища з протидії гібридним загрозам WARN. </w:t>
            </w:r>
          </w:p>
          <w:p w:rsidR="002324D3" w:rsidRPr="00146E0C" w:rsidRDefault="002324D3" w:rsidP="00C602E3">
            <w:pPr>
              <w:spacing w:line="24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2021 році лабораторія отримала потужне комп’ютерне обладнання на загальну суму більш ніж 736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профінансоване грантом проєкту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Еразмус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 "Академічна протидія гібридним загрозам – WARN" (610133-EPP-1-2019-1-FI-EPPKA2-CBHE-JP)</w:t>
            </w:r>
          </w:p>
        </w:tc>
      </w:tr>
      <w:tr w:rsidR="00146E0C" w:rsidRPr="00146E0C" w:rsidTr="00CE2EEC">
        <w:tc>
          <w:tcPr>
            <w:tcW w:w="445" w:type="dxa"/>
          </w:tcPr>
          <w:p w:rsidR="002324D3" w:rsidRPr="00146E0C" w:rsidRDefault="002324D3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2324D3" w:rsidRPr="00146E0C" w:rsidRDefault="002324D3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663" w:type="dxa"/>
          </w:tcPr>
          <w:p w:rsidR="002324D3" w:rsidRPr="00146E0C" w:rsidRDefault="002324D3" w:rsidP="00885A41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Кафедра менеджменту, публічного управління та адміністрування,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608,</w:t>
            </w:r>
          </w:p>
        </w:tc>
      </w:tr>
      <w:tr w:rsidR="002324D3" w:rsidRPr="00146E0C" w:rsidTr="00CE2EEC">
        <w:tc>
          <w:tcPr>
            <w:tcW w:w="445" w:type="dxa"/>
          </w:tcPr>
          <w:p w:rsidR="002324D3" w:rsidRPr="00146E0C" w:rsidRDefault="002324D3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2324D3" w:rsidRPr="00146E0C" w:rsidRDefault="002324D3" w:rsidP="00A6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Викладач(і) – розробник(и)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силабусу</w:t>
            </w:r>
            <w:proofErr w:type="spellEnd"/>
          </w:p>
        </w:tc>
        <w:tc>
          <w:tcPr>
            <w:tcW w:w="6663" w:type="dxa"/>
          </w:tcPr>
          <w:p w:rsidR="002324D3" w:rsidRPr="00146E0C" w:rsidRDefault="002324D3" w:rsidP="00885A41">
            <w:pPr>
              <w:spacing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Карпенко Оксана Олександрівна, </w:t>
            </w:r>
            <w:proofErr w:type="spellStart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д.е.н</w:t>
            </w:r>
            <w:proofErr w:type="spellEnd"/>
            <w:r w:rsidRPr="00146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професор, karpo_2004@ukr.net</w:t>
            </w:r>
          </w:p>
        </w:tc>
      </w:tr>
    </w:tbl>
    <w:p w:rsidR="004F5220" w:rsidRPr="00146E0C" w:rsidRDefault="004F5220" w:rsidP="004F522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91B65" w:rsidRPr="00146E0C" w:rsidRDefault="00791B6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91B65" w:rsidRPr="00146E0C" w:rsidSect="00CE2E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6B7"/>
    <w:multiLevelType w:val="hybridMultilevel"/>
    <w:tmpl w:val="5338DC2E"/>
    <w:lvl w:ilvl="0" w:tplc="5AB670EC">
      <w:numFmt w:val="bullet"/>
      <w:lvlText w:val=""/>
      <w:lvlJc w:val="left"/>
      <w:pPr>
        <w:ind w:left="335" w:hanging="228"/>
      </w:pPr>
      <w:rPr>
        <w:rFonts w:hint="default"/>
        <w:w w:val="100"/>
        <w:lang w:val="uk-UA" w:eastAsia="en-US" w:bidi="ar-SA"/>
      </w:rPr>
    </w:lvl>
    <w:lvl w:ilvl="1" w:tplc="7F3A4214">
      <w:numFmt w:val="bullet"/>
      <w:lvlText w:val="•"/>
      <w:lvlJc w:val="left"/>
      <w:pPr>
        <w:ind w:left="1322" w:hanging="228"/>
      </w:pPr>
      <w:rPr>
        <w:rFonts w:hint="default"/>
        <w:lang w:val="uk-UA" w:eastAsia="en-US" w:bidi="ar-SA"/>
      </w:rPr>
    </w:lvl>
    <w:lvl w:ilvl="2" w:tplc="794E000A">
      <w:numFmt w:val="bullet"/>
      <w:lvlText w:val="•"/>
      <w:lvlJc w:val="left"/>
      <w:pPr>
        <w:ind w:left="2304" w:hanging="228"/>
      </w:pPr>
      <w:rPr>
        <w:rFonts w:hint="default"/>
        <w:lang w:val="uk-UA" w:eastAsia="en-US" w:bidi="ar-SA"/>
      </w:rPr>
    </w:lvl>
    <w:lvl w:ilvl="3" w:tplc="D02E092A">
      <w:numFmt w:val="bullet"/>
      <w:lvlText w:val="•"/>
      <w:lvlJc w:val="left"/>
      <w:pPr>
        <w:ind w:left="3287" w:hanging="228"/>
      </w:pPr>
      <w:rPr>
        <w:rFonts w:hint="default"/>
        <w:lang w:val="uk-UA" w:eastAsia="en-US" w:bidi="ar-SA"/>
      </w:rPr>
    </w:lvl>
    <w:lvl w:ilvl="4" w:tplc="CFA8D84A">
      <w:numFmt w:val="bullet"/>
      <w:lvlText w:val="•"/>
      <w:lvlJc w:val="left"/>
      <w:pPr>
        <w:ind w:left="4269" w:hanging="228"/>
      </w:pPr>
      <w:rPr>
        <w:rFonts w:hint="default"/>
        <w:lang w:val="uk-UA" w:eastAsia="en-US" w:bidi="ar-SA"/>
      </w:rPr>
    </w:lvl>
    <w:lvl w:ilvl="5" w:tplc="0D1C5224">
      <w:numFmt w:val="bullet"/>
      <w:lvlText w:val="•"/>
      <w:lvlJc w:val="left"/>
      <w:pPr>
        <w:ind w:left="5252" w:hanging="228"/>
      </w:pPr>
      <w:rPr>
        <w:rFonts w:hint="default"/>
        <w:lang w:val="uk-UA" w:eastAsia="en-US" w:bidi="ar-SA"/>
      </w:rPr>
    </w:lvl>
    <w:lvl w:ilvl="6" w:tplc="952090B2">
      <w:numFmt w:val="bullet"/>
      <w:lvlText w:val="•"/>
      <w:lvlJc w:val="left"/>
      <w:pPr>
        <w:ind w:left="6234" w:hanging="228"/>
      </w:pPr>
      <w:rPr>
        <w:rFonts w:hint="default"/>
        <w:lang w:val="uk-UA" w:eastAsia="en-US" w:bidi="ar-SA"/>
      </w:rPr>
    </w:lvl>
    <w:lvl w:ilvl="7" w:tplc="98DA62A8">
      <w:numFmt w:val="bullet"/>
      <w:lvlText w:val="•"/>
      <w:lvlJc w:val="left"/>
      <w:pPr>
        <w:ind w:left="7216" w:hanging="228"/>
      </w:pPr>
      <w:rPr>
        <w:rFonts w:hint="default"/>
        <w:lang w:val="uk-UA" w:eastAsia="en-US" w:bidi="ar-SA"/>
      </w:rPr>
    </w:lvl>
    <w:lvl w:ilvl="8" w:tplc="37309912">
      <w:numFmt w:val="bullet"/>
      <w:lvlText w:val="•"/>
      <w:lvlJc w:val="left"/>
      <w:pPr>
        <w:ind w:left="8199" w:hanging="228"/>
      </w:pPr>
      <w:rPr>
        <w:rFonts w:hint="default"/>
        <w:lang w:val="uk-UA" w:eastAsia="en-US" w:bidi="ar-SA"/>
      </w:rPr>
    </w:lvl>
  </w:abstractNum>
  <w:abstractNum w:abstractNumId="1" w15:restartNumberingAfterBreak="0">
    <w:nsid w:val="4DFD334F"/>
    <w:multiLevelType w:val="hybridMultilevel"/>
    <w:tmpl w:val="162A9228"/>
    <w:lvl w:ilvl="0" w:tplc="6C323A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C14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3049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1603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C015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D2AC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E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3EB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AE58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E9C0AE9"/>
    <w:multiLevelType w:val="hybridMultilevel"/>
    <w:tmpl w:val="72407B06"/>
    <w:lvl w:ilvl="0" w:tplc="3A788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4616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420A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1E50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853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4EFF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EE90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855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C675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2EA03FD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7F6811"/>
    <w:multiLevelType w:val="hybridMultilevel"/>
    <w:tmpl w:val="301CEF8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20"/>
    <w:rsid w:val="00026A6B"/>
    <w:rsid w:val="000668B3"/>
    <w:rsid w:val="00097D42"/>
    <w:rsid w:val="000B7FEE"/>
    <w:rsid w:val="000F6443"/>
    <w:rsid w:val="001246A4"/>
    <w:rsid w:val="00146E0C"/>
    <w:rsid w:val="00164EF2"/>
    <w:rsid w:val="00174B8B"/>
    <w:rsid w:val="002324D3"/>
    <w:rsid w:val="00267A14"/>
    <w:rsid w:val="002C22CF"/>
    <w:rsid w:val="00366586"/>
    <w:rsid w:val="00374DCF"/>
    <w:rsid w:val="003E22AB"/>
    <w:rsid w:val="00453EC3"/>
    <w:rsid w:val="004F5220"/>
    <w:rsid w:val="00540262"/>
    <w:rsid w:val="00544FF4"/>
    <w:rsid w:val="006829EE"/>
    <w:rsid w:val="00791592"/>
    <w:rsid w:val="00791B65"/>
    <w:rsid w:val="007B2312"/>
    <w:rsid w:val="00863393"/>
    <w:rsid w:val="00866667"/>
    <w:rsid w:val="00885A41"/>
    <w:rsid w:val="008B63B6"/>
    <w:rsid w:val="0092295E"/>
    <w:rsid w:val="00996C11"/>
    <w:rsid w:val="009B0941"/>
    <w:rsid w:val="00AA628E"/>
    <w:rsid w:val="00B67D58"/>
    <w:rsid w:val="00C602E3"/>
    <w:rsid w:val="00C655B3"/>
    <w:rsid w:val="00CE2EEC"/>
    <w:rsid w:val="00E07D76"/>
    <w:rsid w:val="00FD1161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049C"/>
  <w15:docId w15:val="{142C938A-DBD4-46E0-9575-8B9A1F3D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2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4F5220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4F52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styleId="a3">
    <w:name w:val="List Paragraph"/>
    <w:basedOn w:val="a"/>
    <w:qFormat/>
    <w:rsid w:val="000F644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44F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174B8B"/>
    <w:rPr>
      <w:color w:val="0000FF"/>
      <w:u w:val="single"/>
    </w:rPr>
  </w:style>
  <w:style w:type="character" w:customStyle="1" w:styleId="a5">
    <w:name w:val="Основной текст_"/>
    <w:link w:val="10"/>
    <w:locked/>
    <w:rsid w:val="00366586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5"/>
    <w:rsid w:val="00366586"/>
    <w:pPr>
      <w:widowControl w:val="0"/>
      <w:shd w:val="clear" w:color="auto" w:fill="FFFFFF"/>
      <w:spacing w:before="180" w:after="660" w:line="480" w:lineRule="exact"/>
      <w:ind w:firstLine="700"/>
      <w:jc w:val="both"/>
    </w:pPr>
    <w:rPr>
      <w:rFonts w:eastAsiaTheme="minorHAnsi"/>
      <w:sz w:val="27"/>
      <w:szCs w:val="27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ybridcoe.fi/wp-content/uploads/2018/05/Treverton-AddressingHybridThreats.pdf" TargetMode="External"/><Relationship Id="rId13" Type="http://schemas.openxmlformats.org/officeDocument/2006/relationships/hyperlink" Target="URL:https://www.hel.fi/static/kanslia/Julkaisut/2018/hybridiraportti_eng_020818_nett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rn-erasmus.eu/ua/glossary/" TargetMode="External"/><Relationship Id="rId12" Type="http://schemas.openxmlformats.org/officeDocument/2006/relationships/hyperlink" Target="https://publications.jrc.ec.europa.eu/repository/handle/JRC1233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ybridcoe.fi/" TargetMode="External"/><Relationship Id="rId11" Type="http://schemas.openxmlformats.org/officeDocument/2006/relationships/hyperlink" Target="https://view.24mags.com/mobilev/bbc43250c51aa3c0b599cb18066f3c" TargetMode="External"/><Relationship Id="rId5" Type="http://schemas.openxmlformats.org/officeDocument/2006/relationships/hyperlink" Target="https://nure.ua/wp-content/uploads/Main_Docs_NURE/polozhennja-pro-organizaciju-osvitnogo-procesu-v-hnure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c.europa.eu/transparency/regdoc/rep/10102/2020/EN/SWD-2020-153-F1-EN-MAIN-PART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user/Downloads/EU_Security_Union_Strategy__connecting_the_dots_in_a_new_security_ecosystem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</dc:creator>
  <cp:lastModifiedBy>User</cp:lastModifiedBy>
  <cp:revision>3</cp:revision>
  <dcterms:created xsi:type="dcterms:W3CDTF">2022-02-17T17:01:00Z</dcterms:created>
  <dcterms:modified xsi:type="dcterms:W3CDTF">2022-02-17T17:05:00Z</dcterms:modified>
</cp:coreProperties>
</file>